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1.jpeg" ContentType="image/jpeg"/>
  <Override PartName="/word/media/image3.png" ContentType="image/png"/>
  <Override PartName="/word/media/image2.png" ContentType="image/png"/>
  <Override PartName="/word/media/hdphoto1.wdp" ContentType="image/vnd.ms-photo"/>
  <Override PartName="/word/media/image4.png" ContentType="image/png"/>
  <Override PartName="/word/media/image6.jpeg" ContentType="image/jpeg"/>
  <Override PartName="/word/media/image5.png" ContentType="image/png"/>
  <Override PartName="/word/media/image7.jpeg" ContentType="image/jpeg"/>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footnotes.xml.rels" ContentType="application/vnd.openxmlformats-package.relationships+xml"/>
  <Override PartName="/word/_rels/header1.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jc w:val="center"/>
        <w:rPr>
          <w:rFonts w:ascii="Open Sans" w:hAnsi="Open Sans" w:eastAsia="Times New Roman" w:cs="Open Sans"/>
          <w:b/>
          <w:b/>
          <w:bCs/>
          <w:color w:val="404040"/>
          <w:kern w:val="0"/>
          <w:sz w:val="36"/>
          <w:szCs w:val="36"/>
          <w:lang w:val="en-GB"/>
          <w14:ligatures w14:val="none"/>
        </w:rPr>
      </w:pPr>
      <w:r>
        <w:rPr>
          <w:rFonts w:eastAsia="Times New Roman" w:cs="Open Sans" w:ascii="Open Sans" w:hAnsi="Open Sans"/>
          <w:b/>
          <w:bCs/>
          <w:color w:val="404040"/>
          <w:kern w:val="0"/>
          <w:sz w:val="36"/>
          <w:szCs w:val="36"/>
          <w:lang w:val="en-GB"/>
          <w14:ligatures w14:val="none"/>
        </w:rPr>
        <mc:AlternateContent>
          <mc:Choice Requires="wpg">
            <w:drawing>
              <wp:anchor behindDoc="0" distT="0" distB="0" distL="0" distR="0" simplePos="0" locked="0" layoutInCell="1" allowOverlap="1" relativeHeight="10" wp14:anchorId="5C007B58">
                <wp:simplePos x="0" y="0"/>
                <wp:positionH relativeFrom="margin">
                  <wp:posOffset>-407035</wp:posOffset>
                </wp:positionH>
                <wp:positionV relativeFrom="paragraph">
                  <wp:posOffset>-50800</wp:posOffset>
                </wp:positionV>
                <wp:extent cx="6741795" cy="1807845"/>
                <wp:effectExtent l="0" t="0" r="3175" b="3810"/>
                <wp:wrapNone/>
                <wp:docPr id="1" name="Skupina 2"/>
                <a:graphic xmlns:a="http://schemas.openxmlformats.org/drawingml/2006/main">
                  <a:graphicData uri="http://schemas.microsoft.com/office/word/2010/wordprocessingGroup">
                    <wpg:wgp>
                      <wpg:cNvGrpSpPr/>
                      <wpg:grpSpPr>
                        <a:xfrm>
                          <a:off x="0" y="0"/>
                          <a:ext cx="6741000" cy="1807200"/>
                        </a:xfrm>
                      </wpg:grpSpPr>
                      <wps:wsp>
                        <wps:cNvSpPr/>
                        <wps:spPr>
                          <a:xfrm>
                            <a:off x="326880" y="1140480"/>
                            <a:ext cx="324360" cy="666720"/>
                          </a:xfrm>
                          <a:custGeom>
                            <a:avLst/>
                            <a:gdLst/>
                            <a:ahLst/>
                            <a:rect l="l" t="t" r="r" b="b"/>
                            <a:pathLst>
                              <a:path w="560" h="1095">
                                <a:moveTo>
                                  <a:pt x="2" y="1094"/>
                                </a:moveTo>
                                <a:lnTo>
                                  <a:pt x="0" y="0"/>
                                </a:lnTo>
                                <a:lnTo>
                                  <a:pt x="560" y="0"/>
                                </a:lnTo>
                                <a:lnTo>
                                  <a:pt x="2" y="1094"/>
                                </a:lnTo>
                                <a:close/>
                              </a:path>
                            </a:pathLst>
                          </a:custGeom>
                          <a:solidFill>
                            <a:srgbClr val="00a883"/>
                          </a:solidFill>
                          <a:ln>
                            <a:noFill/>
                          </a:ln>
                        </wps:spPr>
                        <wps:style>
                          <a:lnRef idx="0"/>
                          <a:fillRef idx="0"/>
                          <a:effectRef idx="0"/>
                          <a:fontRef idx="minor"/>
                        </wps:style>
                        <wps:bodyPr/>
                      </wps:wsp>
                      <wps:wsp>
                        <wps:cNvSpPr/>
                        <wps:spPr>
                          <a:xfrm>
                            <a:off x="0" y="1140480"/>
                            <a:ext cx="325800" cy="666720"/>
                          </a:xfrm>
                          <a:custGeom>
                            <a:avLst/>
                            <a:gdLst/>
                            <a:ahLst/>
                            <a:rect l="l" t="t" r="r" b="b"/>
                            <a:pathLst>
                              <a:path w="562" h="1095">
                                <a:moveTo>
                                  <a:pt x="0" y="1"/>
                                </a:moveTo>
                                <a:lnTo>
                                  <a:pt x="560" y="0"/>
                                </a:lnTo>
                                <a:lnTo>
                                  <a:pt x="562" y="1094"/>
                                </a:lnTo>
                                <a:lnTo>
                                  <a:pt x="0" y="1"/>
                                </a:lnTo>
                                <a:close/>
                              </a:path>
                            </a:pathLst>
                          </a:custGeom>
                          <a:solidFill>
                            <a:srgbClr val="4ab598"/>
                          </a:solidFill>
                          <a:ln>
                            <a:noFill/>
                          </a:ln>
                        </wps:spPr>
                        <wps:style>
                          <a:lnRef idx="0"/>
                          <a:fillRef idx="0"/>
                          <a:effectRef idx="0"/>
                          <a:fontRef idx="minor"/>
                        </wps:style>
                        <wps:bodyPr/>
                      </wps:wsp>
                      <wps:wsp>
                        <wps:cNvSpPr/>
                        <wps:spPr>
                          <a:xfrm>
                            <a:off x="0" y="0"/>
                            <a:ext cx="6741000" cy="1139040"/>
                          </a:xfrm>
                          <a:prstGeom prst="rect">
                            <a:avLst/>
                          </a:prstGeom>
                          <a:solidFill>
                            <a:srgbClr val="4ab598"/>
                          </a:solidFill>
                          <a:ln>
                            <a:noFill/>
                          </a:ln>
                        </wps:spPr>
                        <wps:style>
                          <a:lnRef idx="0"/>
                          <a:fillRef idx="0"/>
                          <a:effectRef idx="0"/>
                          <a:fontRef idx="minor"/>
                        </wps:style>
                        <wps:bodyPr/>
                      </wps:wsp>
                      <wps:wsp>
                        <wps:cNvSpPr/>
                        <wps:spPr>
                          <a:xfrm>
                            <a:off x="592560" y="117360"/>
                            <a:ext cx="5770800" cy="934560"/>
                          </a:xfrm>
                          <a:prstGeom prst="rect">
                            <a:avLst/>
                          </a:prstGeom>
                          <a:noFill/>
                          <a:ln>
                            <a:noFill/>
                          </a:ln>
                        </wps:spPr>
                        <wps:style>
                          <a:lnRef idx="0"/>
                          <a:fillRef idx="0"/>
                          <a:effectRef idx="0"/>
                          <a:fontRef idx="minor"/>
                        </wps:style>
                        <wps:txbx>
                          <w:txbxContent>
                            <w:p>
                              <w:pPr>
                                <w:overflowPunct w:val="false"/>
                                <w:spacing w:before="0" w:after="0" w:lineRule="auto" w:line="244"/>
                                <w:jc w:val="left"/>
                                <w:rPr/>
                              </w:pPr>
                              <w:r>
                                <w:rPr>
                                  <w:sz w:val="36"/>
                                  <w:b/>
                                  <w:u w:val="none"/>
                                  <w:dstrike w:val="false"/>
                                  <w:strike w:val="false"/>
                                  <w:i w:val="false"/>
                                  <w:vertAlign w:val="baseline"/>
                                  <w:position w:val="0"/>
                                  <w:spacing w:val="0"/>
                                  <w:szCs w:val="36"/>
                                  <w:bCs/>
                                  <w:iCs w:val="false"/>
                                  <w:smallCaps w:val="false"/>
                                  <w:caps w:val="false"/>
                                  <w:rFonts w:asciiTheme="minorHAnsi" w:cstheme="minorBidi" w:eastAsiaTheme="minorHAnsi" w:hAnsiTheme="minorHAnsi" w:ascii="Open Sans" w:hAnsi="Open Sans" w:cs="Open Sans"/>
                                  <w:color w:val="FFFFFF"/>
                                  <w14:ligatures w14:val="standardContextual"/>
                                </w:rPr>
                                <w:t>CROWDFUNDMATCH – Ξεκλειδώνοντας τις Δυνατότητες Συμμετοχικής Χρηματοδότησης για τα Ευρωπαϊκά Διαρθρωτικά Επενδυτικά Ταμεία</w:t>
                              </w:r>
                            </w:p>
                          </w:txbxContent>
                        </wps:txbx>
                        <wps:bodyPr lIns="0" rIns="0" tIns="0" bIns="0">
                          <a:noAutofit/>
                        </wps:bodyPr>
                      </wps:wsp>
                    </wpg:wgp>
                  </a:graphicData>
                </a:graphic>
              </wp:anchor>
            </w:drawing>
          </mc:Choice>
          <mc:Fallback>
            <w:pict>
              <v:group id="shape_0" alt="Skupina 2" style="position:absolute;margin-left:-32.05pt;margin-top:-4pt;width:530.8pt;height:142.3pt" coordorigin="-641,-80" coordsize="10616,2846">
                <v:rect id="shape_0" fillcolor="#4ab598" stroked="f" style="position:absolute;left:-641;top:-80;width:10615;height:1793;mso-position-horizontal-relative:margin">
                  <w10:wrap type="none"/>
                  <v:fill o:detectmouseclick="t" type="solid" color2="#b54a67"/>
                  <v:stroke color="#3465a4" joinstyle="round" endcap="flat"/>
                </v:rect>
                <v:rect id="shape_0" stroked="f" style="position:absolute;left:292;top:105;width:9087;height:1471;mso-position-horizontal-relative:margin">
                  <v:textbox>
                    <w:txbxContent>
                      <w:p>
                        <w:pPr>
                          <w:overflowPunct w:val="false"/>
                          <w:spacing w:before="0" w:after="0" w:lineRule="auto" w:line="244"/>
                          <w:jc w:val="left"/>
                          <w:rPr/>
                        </w:pPr>
                        <w:r>
                          <w:rPr>
                            <w:sz w:val="36"/>
                            <w:b/>
                            <w:u w:val="none"/>
                            <w:dstrike w:val="false"/>
                            <w:strike w:val="false"/>
                            <w:i w:val="false"/>
                            <w:vertAlign w:val="baseline"/>
                            <w:position w:val="0"/>
                            <w:spacing w:val="0"/>
                            <w:szCs w:val="36"/>
                            <w:bCs/>
                            <w:iCs w:val="false"/>
                            <w:smallCaps w:val="false"/>
                            <w:caps w:val="false"/>
                            <w:rFonts w:asciiTheme="minorHAnsi" w:cstheme="minorBidi" w:eastAsiaTheme="minorHAnsi" w:hAnsiTheme="minorHAnsi" w:ascii="Open Sans" w:hAnsi="Open Sans" w:cs="Open Sans"/>
                            <w:color w:val="FFFFFF"/>
                            <w14:ligatures w14:val="standardContextual"/>
                          </w:rPr>
                          <w:t>CROWDFUNDMATCH – Ξεκλειδώνοντας τις Δυνατότητες Συμμετοχικής Χρηματοδότησης για τα Ευρωπαϊκά Διαρθρωτικά Επενδυτικά Ταμεία</w:t>
                        </w:r>
                      </w:p>
                    </w:txbxContent>
                  </v:textbox>
                  <w10:wrap type="square"/>
                  <v:fill o:detectmouseclick="t" on="false"/>
                  <v:stroke color="#3465a4" joinstyle="round" endcap="flat"/>
                </v:rect>
              </v:group>
            </w:pict>
          </mc:Fallback>
        </mc:AlternateContent>
      </w:r>
    </w:p>
    <w:p>
      <w:pPr>
        <w:pStyle w:val="Normal"/>
        <w:jc w:val="center"/>
        <w:rPr>
          <w:rFonts w:ascii="Open Sans" w:hAnsi="Open Sans" w:eastAsia="Times New Roman" w:cs="Open Sans"/>
          <w:b/>
          <w:b/>
          <w:bCs/>
          <w:color w:val="404040"/>
          <w:kern w:val="0"/>
          <w:sz w:val="36"/>
          <w:szCs w:val="36"/>
          <w:lang w:val="en-GB"/>
          <w14:ligatures w14:val="none"/>
        </w:rPr>
      </w:pPr>
      <w:r>
        <w:rPr>
          <w:rFonts w:eastAsia="Times New Roman" w:cs="Open Sans" w:ascii="Open Sans" w:hAnsi="Open Sans"/>
          <w:b/>
          <w:bCs/>
          <w:color w:val="404040"/>
          <w:kern w:val="0"/>
          <w:sz w:val="36"/>
          <w:szCs w:val="36"/>
          <w:lang w:val="en-GB"/>
          <w14:ligatures w14:val="none"/>
        </w:rPr>
      </w:r>
    </w:p>
    <w:p>
      <w:pPr>
        <w:pStyle w:val="Normal"/>
        <w:jc w:val="center"/>
        <w:rPr>
          <w:rFonts w:ascii="Open Sans" w:hAnsi="Open Sans" w:eastAsia="Times New Roman" w:cs="Open Sans"/>
          <w:b/>
          <w:b/>
          <w:bCs/>
          <w:color w:val="404040"/>
          <w:kern w:val="0"/>
          <w:sz w:val="36"/>
          <w:szCs w:val="36"/>
          <w:lang w:val="en-GB"/>
          <w14:ligatures w14:val="none"/>
        </w:rPr>
      </w:pPr>
      <w:r>
        <w:rPr>
          <w:rFonts w:eastAsia="Times New Roman" w:cs="Open Sans" w:ascii="Open Sans" w:hAnsi="Open Sans"/>
          <w:b/>
          <w:bCs/>
          <w:color w:val="404040"/>
          <w:kern w:val="0"/>
          <w:sz w:val="36"/>
          <w:szCs w:val="36"/>
          <w:lang w:val="en-GB"/>
          <w14:ligatures w14:val="none"/>
        </w:rPr>
      </w:r>
    </w:p>
    <w:p>
      <w:pPr>
        <w:pStyle w:val="Normal"/>
        <w:jc w:val="center"/>
        <w:rPr>
          <w:rFonts w:ascii="Open Sans" w:hAnsi="Open Sans" w:eastAsia="Times New Roman" w:cs="Open Sans"/>
          <w:b/>
          <w:b/>
          <w:bCs/>
          <w:color w:val="404040"/>
          <w:kern w:val="0"/>
          <w:sz w:val="20"/>
          <w:szCs w:val="20"/>
          <w:lang w:val="en-GB"/>
          <w14:ligatures w14:val="none"/>
        </w:rPr>
      </w:pPr>
      <w:r>
        <w:rPr>
          <w:rFonts w:eastAsia="Times New Roman" w:cs="Open Sans" w:ascii="Open Sans" w:hAnsi="Open Sans"/>
          <w:b/>
          <w:bCs/>
          <w:color w:val="404040"/>
          <w:kern w:val="0"/>
          <w:sz w:val="20"/>
          <w:szCs w:val="20"/>
          <w:lang w:val="en-GB"/>
          <w14:ligatures w14:val="none"/>
        </w:rPr>
      </w:r>
    </w:p>
    <w:tbl>
      <w:tblPr>
        <w:tblStyle w:val="a5"/>
        <w:tblW w:w="9062" w:type="dxa"/>
        <w:jc w:val="left"/>
        <w:tblInd w:w="0" w:type="dxa"/>
        <w:tblCellMar>
          <w:top w:w="0" w:type="dxa"/>
          <w:left w:w="108" w:type="dxa"/>
          <w:bottom w:w="0" w:type="dxa"/>
          <w:right w:w="108" w:type="dxa"/>
        </w:tblCellMar>
        <w:tblLook w:firstRow="1" w:noVBand="1" w:lastRow="0" w:firstColumn="1" w:lastColumn="0" w:noHBand="0" w:val="04a0"/>
      </w:tblPr>
      <w:tblGrid>
        <w:gridCol w:w="9062"/>
      </w:tblGrid>
      <w:tr>
        <w:trPr/>
        <w:tc>
          <w:tcPr>
            <w:tcW w:w="9062" w:type="dxa"/>
            <w:tcBorders>
              <w:top w:val="nil"/>
              <w:left w:val="nil"/>
              <w:bottom w:val="nil"/>
              <w:right w:val="nil"/>
            </w:tcBorders>
            <w:shd w:fill="auto" w:val="clear"/>
          </w:tcPr>
          <w:p>
            <w:pPr>
              <w:pStyle w:val="Normal"/>
              <w:spacing w:lineRule="auto" w:line="240" w:before="0" w:after="0"/>
              <w:jc w:val="center"/>
              <w:rPr>
                <w:rFonts w:ascii="Open Sans" w:hAnsi="Open Sans" w:eastAsia="Times New Roman" w:cs="Open Sans"/>
                <w:b/>
                <w:b/>
                <w:bCs/>
                <w:color w:val="404040"/>
                <w:kern w:val="0"/>
                <w:sz w:val="36"/>
                <w:szCs w:val="36"/>
                <w:lang w:val="en-GB"/>
                <w14:ligatures w14:val="none"/>
              </w:rPr>
            </w:pPr>
            <w:r>
              <w:rPr>
                <w:rFonts w:eastAsia="Times New Roman" w:cs="Open Sans" w:ascii="Open Sans" w:hAnsi="Open Sans"/>
                <w:b/>
                <w:bCs/>
                <w:color w:val="7F7F7F" w:themeColor="text1" w:themeTint="80"/>
                <w:kern w:val="0"/>
                <w:sz w:val="36"/>
                <w:szCs w:val="36"/>
                <w:lang w:val="el-GR"/>
                <w14:ligatures w14:val="none"/>
              </w:rPr>
              <w:t>ΕΝΗΜΕΡΩΤΙΚΟ ΔΕΛΤΙΟ</w:t>
            </w:r>
            <w:r>
              <w:rPr>
                <w:rFonts w:eastAsia="Times New Roman" w:cs="Open Sans" w:ascii="Open Sans" w:hAnsi="Open Sans"/>
                <w:b/>
                <w:bCs/>
                <w:color w:val="7F7F7F" w:themeColor="text1" w:themeTint="80"/>
                <w:kern w:val="0"/>
                <w:sz w:val="36"/>
                <w:szCs w:val="36"/>
                <w:lang w:val="en-GB"/>
                <w14:ligatures w14:val="none"/>
              </w:rPr>
              <w:t xml:space="preserve"> #3</w:t>
            </w:r>
          </w:p>
        </w:tc>
      </w:tr>
    </w:tbl>
    <w:p>
      <w:pPr>
        <w:pStyle w:val="Normal"/>
        <w:jc w:val="center"/>
        <w:rPr>
          <w:rFonts w:ascii="Open Sans" w:hAnsi="Open Sans" w:cs="Open Sans"/>
          <w:sz w:val="28"/>
          <w:szCs w:val="28"/>
          <w:lang w:val="el-GR"/>
        </w:rPr>
      </w:pPr>
      <w:r>
        <w:rPr>
          <w:rFonts w:eastAsia="Yu Mincho" w:cs="Open Sans" w:ascii="Open Sans" w:hAnsi="Open Sans"/>
          <w:kern w:val="0"/>
          <w:sz w:val="28"/>
          <w:szCs w:val="28"/>
          <w:lang w:val="el-GR" w:eastAsia="ja-JP"/>
          <w14:ligatures w14:val="none"/>
        </w:rPr>
        <w:t>Καλώς ήρθατε στην τρίτη έκδοση του ενημερωτικού δελτίου του έργου “</w:t>
      </w:r>
      <w:r>
        <w:rPr>
          <w:rFonts w:eastAsia="Yu Mincho" w:cs="Open Sans" w:ascii="Open Sans" w:hAnsi="Open Sans"/>
          <w:kern w:val="0"/>
          <w:sz w:val="28"/>
          <w:szCs w:val="28"/>
          <w:lang w:val="es-ES" w:eastAsia="ja-JP"/>
          <w14:ligatures w14:val="none"/>
        </w:rPr>
        <w:t>Crowdfundmatch</w:t>
      </w:r>
      <w:r>
        <w:rPr>
          <w:rFonts w:eastAsia="Yu Mincho" w:cs="Open Sans" w:ascii="Open Sans" w:hAnsi="Open Sans"/>
          <w:kern w:val="0"/>
          <w:sz w:val="28"/>
          <w:szCs w:val="28"/>
          <w:lang w:val="el-GR" w:eastAsia="ja-JP"/>
          <w14:ligatures w14:val="none"/>
        </w:rPr>
        <w:t>”!</w:t>
      </w:r>
    </w:p>
    <w:p>
      <w:pPr>
        <w:pStyle w:val="Normal"/>
        <w:spacing w:lineRule="auto" w:line="240" w:beforeAutospacing="1" w:afterAutospacing="1"/>
        <w:jc w:val="both"/>
        <w:rPr>
          <w:rFonts w:ascii="Open Sans" w:hAnsi="Open Sans" w:eastAsia="Times New Roman" w:cs="Open Sans"/>
          <w:i/>
          <w:i/>
          <w:iCs/>
          <w:color w:val="00A984"/>
          <w:kern w:val="0"/>
          <w:sz w:val="28"/>
          <w:szCs w:val="28"/>
          <w:u w:val="single"/>
          <w:lang w:val="el-GR" w:eastAsia="sl-SI"/>
          <w14:ligatures w14:val="none"/>
        </w:rPr>
      </w:pPr>
      <w:r>
        <w:rPr>
          <w:rFonts w:eastAsia="Times New Roman" w:cs="Open Sans" w:ascii="Open Sans" w:hAnsi="Open Sans"/>
          <w:b/>
          <w:bCs/>
          <w:i/>
          <w:iCs/>
          <w:color w:val="00A984"/>
          <w:kern w:val="0"/>
          <w:sz w:val="28"/>
          <w:szCs w:val="28"/>
          <w:u w:val="single"/>
          <w:lang w:val="el-GR" w:eastAsia="sl-SI"/>
          <w14:ligatures w14:val="none"/>
        </w:rPr>
        <w:t>ΠΩΣ ΝΑ ΣΧΕΔΙΑΣΕΤΕ ΚΑΙ ΝΑ ΞΕΚΙΝΗΣΕΤΕ ΕΝΑ ΠΕΡΙΦΕΡΕΙΑΚΟ Ή ΤΟΠΙΚΟ ΣΧΗΜΑ ΣΥΝΔΥΑΣΤΙΚΗΣ ΧΡΗΜΑΤΟΔΟΤΗΣΗΣ;</w:t>
      </w:r>
    </w:p>
    <w:p>
      <w:pPr>
        <w:pStyle w:val="Normal"/>
        <w:numPr>
          <w:ilvl w:val="0"/>
          <w:numId w:val="0"/>
        </w:numPr>
        <w:spacing w:lineRule="auto" w:line="240" w:beforeAutospacing="1" w:afterAutospacing="1"/>
        <w:jc w:val="both"/>
        <w:outlineLvl w:val="2"/>
        <w:rPr>
          <w:rFonts w:ascii="Open Sans" w:hAnsi="Open Sans" w:eastAsia="Times New Roman" w:cs="Open Sans"/>
          <w:b/>
          <w:b/>
          <w:bCs/>
          <w:kern w:val="0"/>
          <w:sz w:val="27"/>
          <w:szCs w:val="27"/>
          <w:lang w:val="el-GR" w:eastAsia="sl-SI"/>
          <w14:ligatures w14:val="none"/>
        </w:rPr>
      </w:pPr>
      <w:r>
        <w:rPr>
          <w:rFonts w:eastAsia="Times New Roman" w:cs="Open Sans" w:ascii="Open Sans" w:hAnsi="Open Sans"/>
          <w:b/>
          <w:bCs/>
          <w:kern w:val="0"/>
          <w:lang w:val="el-GR" w:eastAsia="sl-SI"/>
          <w14:ligatures w14:val="none"/>
        </w:rPr>
        <w:t>ΕΙΣΑΓΩΓΗ</w:t>
      </w:r>
    </w:p>
    <w:p>
      <w:pPr>
        <w:pStyle w:val="Normal"/>
        <w:spacing w:lineRule="auto" w:line="240" w:beforeAutospacing="1" w:afterAutospacing="1"/>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Μία από τις βασικές δραστηριότητες του έργου είναι η ανάπτυξη μιας "Κοινής Μεθοδολογίας Σχημάτων Συνδυαστικής Χρηματοδότησης". Ο σκοπός αυτής της μεθοδολογίας είναι να παρέχει καθοδήγηση στις περιφερειακές και τοπικές αρχές για τον συνδυασμό της χρηματοδότησης από τα Ευρωπαϊκά Διαρθρωτικά και Επενδυτικά Ταμεία (ΕΔΕΤ) με μεθόδους χρηματοδότησης από το πλήθος, όπως η συμμετοχική χρηματοδότηση (</w:t>
      </w:r>
      <w:r>
        <w:rPr>
          <w:rFonts w:eastAsia="Times New Roman" w:cs="Open Sans" w:ascii="Open Sans" w:hAnsi="Open Sans"/>
          <w:kern w:val="0"/>
          <w:lang w:val="en-GB" w:eastAsia="sl-SI"/>
          <w14:ligatures w14:val="none"/>
        </w:rPr>
        <w:t>crowdfunding</w:t>
      </w:r>
      <w:r>
        <w:rPr>
          <w:rFonts w:eastAsia="Times New Roman" w:cs="Open Sans" w:ascii="Open Sans" w:hAnsi="Open Sans"/>
          <w:kern w:val="0"/>
          <w:lang w:val="el-GR" w:eastAsia="sl-SI"/>
          <w14:ligatures w14:val="none"/>
        </w:rPr>
        <w:t>).</w:t>
      </w:r>
    </w:p>
    <w:p>
      <w:pPr>
        <w:pStyle w:val="Normal"/>
        <w:spacing w:lineRule="auto" w:line="240" w:beforeAutospacing="1" w:afterAutospacing="1"/>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Η μεθοδολογία ακολουθεί μια προσέγγιση "από τη βάση προς την κορυφή" και βασίζεται στην ανάλυση και την ανταλλαγή γνώσεων μεταξύ των εταίρων του έργου, των ενδιαφερόμενων φορέων και των ειδικών στο θέμα της συμμετοχικής χρηματοδότησης.</w:t>
      </w:r>
    </w:p>
    <w:p>
      <w:pPr>
        <w:pStyle w:val="Normal"/>
        <w:spacing w:lineRule="auto" w:line="240" w:beforeAutospacing="1" w:afterAutospacing="1"/>
        <w:jc w:val="both"/>
        <w:rPr>
          <w:rFonts w:ascii="Open Sans" w:hAnsi="Open Sans" w:eastAsia="Times New Roman" w:cs="Open Sans"/>
          <w:b/>
          <w:b/>
          <w:bCs/>
          <w:kern w:val="0"/>
          <w:lang w:val="el-GR" w:eastAsia="sl-SI"/>
          <w14:ligatures w14:val="none"/>
        </w:rPr>
      </w:pPr>
      <w:r>
        <w:rPr>
          <w:rFonts w:eastAsia="Times New Roman" w:cs="Open Sans" w:ascii="Open Sans" w:hAnsi="Open Sans"/>
          <w:b/>
          <w:bCs/>
          <w:kern w:val="0"/>
          <w:lang w:val="el-GR" w:eastAsia="sl-SI"/>
          <w14:ligatures w14:val="none"/>
        </w:rPr>
        <w:t>ΚΑΤΑΝΟΩΝΤΑΣ ΤΗ ΣΥΝΔΥΑΣΤΙΚΗ ΧΡΗΜΑΤΟΔΟΤΗΣΗ</w:t>
      </w:r>
    </w:p>
    <w:p>
      <w:pPr>
        <w:pStyle w:val="Normal"/>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Η συνδυαστική χρηματοδότηση λαμβάνει χώρα όταν οι δημόσιοι φορείς συμβάλλουν στη χρηματοδότηση παράλληλα με άλλες πηγές, όπως ιδιωτικές επιχειρήσεις, χρηματοδότες ή το ευρύ κοινό. Συνήθως, αυτοί οι δημόσιοι πόροι παρέχονται μόνο εάν εξασφαλιστεί αντίστοιχη συμμετοχή από άλλες πηγές. Η μεθοδολογία μας εστιάζει ειδικά στο συνδυασμό των ΕΔΕΤ με τη συμμετοχική χρηματοδότηση.</w:t>
      </w:r>
    </w:p>
    <w:p>
      <w:pPr>
        <w:pStyle w:val="Normal"/>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Ο συνδυασμός των ΕΔΕΤ με τη συμμετοχική χρηματοδότηση προσφέρει πολλαπλά οφέλη, όπως αυξημένη χρηματοδοτική μόχλευση, ισχυρότερο περιφερειακό αντίκτυπο, πρόσθετη υποστήριξη για έργα με κοινωνική αξία και αυξημένες δυνατότητες καινοτομίας. Επίσης, ενισχύει την ευαισθητοποίηση σχετικά με τις κυβερνητικές πολιτικές, προωθεί τη συμμετοχή των πολιτών και αυξάνει τη λογοδοσία. Ωστόσο, υπάρχουν προκλήσεις, όπως οι κίνδυνοι φήμης για τις δημόσιες αρχές, η κατανομή της εξουσίας λήψης αποφάσεων, η εξάρτηση από τη δυναμική της αγοράς και η έλλειψη ρευστότητας. Ο προσεκτικός σχεδιασμός και η σαφής επικοινωνία είναι απαραίτητα για την άμβλυνση αυτών των κινδύνων.</w:t>
      </w:r>
    </w:p>
    <w:p>
      <w:pPr>
        <w:pStyle w:val="Normal"/>
        <w:jc w:val="both"/>
        <w:rPr>
          <w:rFonts w:ascii="Open Sans" w:hAnsi="Open Sans" w:eastAsia="Times New Roman" w:cs="Open Sans"/>
          <w:b/>
          <w:b/>
          <w:bCs/>
          <w:kern w:val="0"/>
          <w:lang w:val="el-GR" w:eastAsia="sl-SI"/>
          <w14:ligatures w14:val="none"/>
        </w:rPr>
      </w:pPr>
      <w:r>
        <w:rPr>
          <w:rFonts w:cs="Open Sans" w:ascii="Open Sans" w:hAnsi="Open Sans"/>
        </w:rPr>
        <w:t>Σχήμα 1: Επισκόπηση πιθανών οφελών και κινδύνων της συνδυαστικής χρηματοδότησης για τις δημόσιες αρχές</w:t>
      </w:r>
    </w:p>
    <w:p>
      <w:pPr>
        <w:pStyle w:val="Normal"/>
        <w:rPr/>
      </w:pPr>
      <w:r>
        <w:rPr/>
        <mc:AlternateContent>
          <mc:Choice Requires="wps">
            <w:drawing>
              <wp:anchor behindDoc="0" distT="0" distB="0" distL="0" distR="0" simplePos="0" locked="0" layoutInCell="1" allowOverlap="1" relativeHeight="12" wp14:anchorId="704A3DA6">
                <wp:simplePos x="0" y="0"/>
                <wp:positionH relativeFrom="column">
                  <wp:posOffset>-477520</wp:posOffset>
                </wp:positionH>
                <wp:positionV relativeFrom="paragraph">
                  <wp:posOffset>127635</wp:posOffset>
                </wp:positionV>
                <wp:extent cx="6520815" cy="4064000"/>
                <wp:effectExtent l="0" t="0" r="14605" b="13970"/>
                <wp:wrapNone/>
                <wp:docPr id="2" name="Pravokotnik: zaokroženi vogali 22"/>
                <a:graphic xmlns:a="http://schemas.openxmlformats.org/drawingml/2006/main">
                  <a:graphicData uri="http://schemas.microsoft.com/office/word/2010/wordprocessingShape">
                    <wps:wsp>
                      <wps:cNvSpPr/>
                      <wps:spPr>
                        <a:xfrm>
                          <a:off x="0" y="0"/>
                          <a:ext cx="6520320" cy="4063320"/>
                        </a:xfrm>
                        <a:prstGeom prst="roundRect">
                          <a:avLst>
                            <a:gd name="adj" fmla="val 16667"/>
                          </a:avLst>
                        </a:prstGeom>
                        <a:ln>
                          <a:solidFill>
                            <a:srgbClr val="00a984"/>
                          </a:solidFill>
                        </a:ln>
                      </wps:spPr>
                      <wps:style>
                        <a:lnRef idx="2">
                          <a:schemeClr val="accent6"/>
                        </a:lnRef>
                        <a:fillRef idx="1">
                          <a:schemeClr val="lt1"/>
                        </a:fillRef>
                        <a:effectRef idx="0">
                          <a:schemeClr val="accent6"/>
                        </a:effectRef>
                        <a:fontRef idx="minor"/>
                      </wps:style>
                      <wps:bodyPr/>
                    </wps:wsp>
                  </a:graphicData>
                </a:graphic>
              </wp:anchor>
            </w:drawing>
          </mc:Choice>
          <mc:Fallback>
            <w:pict/>
          </mc:Fallback>
        </mc:AlternateContent>
      </w:r>
    </w:p>
    <w:p>
      <w:pPr>
        <w:pStyle w:val="Normal"/>
        <w:rPr>
          <w:rFonts w:ascii="Open Sans" w:hAnsi="Open Sans" w:eastAsia="Times New Roman" w:cs="Open Sans"/>
          <w:b/>
          <w:b/>
          <w:bCs/>
          <w:kern w:val="0"/>
          <w:lang w:val="el-GR" w:eastAsia="sl-SI"/>
          <w14:ligatures w14:val="none"/>
        </w:rPr>
      </w:pPr>
      <w:r>
        <w:rPr>
          <w:rFonts w:eastAsia="Times New Roman" w:cs="Open Sans" w:ascii="Open Sans" w:hAnsi="Open Sans"/>
          <w:b/>
          <w:bCs/>
          <w:kern w:val="0"/>
          <w:lang w:val="el-GR" w:eastAsia="sl-SI"/>
          <w14:ligatures w14:val="none"/>
        </w:rPr>
        <mc:AlternateContent>
          <mc:Choice Requires="wps">
            <w:drawing>
              <wp:anchor behindDoc="0" distT="0" distB="0" distL="0" distR="0" simplePos="0" locked="0" layoutInCell="1" allowOverlap="1" relativeHeight="13" wp14:anchorId="03AFCC9A">
                <wp:simplePos x="0" y="0"/>
                <wp:positionH relativeFrom="column">
                  <wp:posOffset>315595</wp:posOffset>
                </wp:positionH>
                <wp:positionV relativeFrom="paragraph">
                  <wp:posOffset>179070</wp:posOffset>
                </wp:positionV>
                <wp:extent cx="1464310" cy="772795"/>
                <wp:effectExtent l="0" t="0" r="22860" b="28575"/>
                <wp:wrapNone/>
                <wp:docPr id="3" name="Elipsa 6"/>
                <a:graphic xmlns:a="http://schemas.openxmlformats.org/drawingml/2006/main">
                  <a:graphicData uri="http://schemas.microsoft.com/office/word/2010/wordprocessingShape">
                    <wps:wsp>
                      <wps:cNvSpPr/>
                      <wps:spPr>
                        <a:xfrm>
                          <a:off x="0" y="0"/>
                          <a:ext cx="1463760" cy="772200"/>
                        </a:xfrm>
                        <a:prstGeom prst="ellipse">
                          <a:avLst/>
                        </a:prstGeom>
                        <a:solidFill>
                          <a:srgbClr val="00a984"/>
                        </a:solidFill>
                        <a:ln w="12600">
                          <a:solidFill>
                            <a:srgbClr val="000000"/>
                          </a:solidFill>
                          <a:miter/>
                        </a:ln>
                      </wps:spPr>
                      <wps:style>
                        <a:lnRef idx="0"/>
                        <a:fillRef idx="0"/>
                        <a:effectRef idx="0"/>
                        <a:fontRef idx="minor"/>
                      </wps:style>
                      <wps:txbx>
                        <w:txbxContent>
                          <w:p>
                            <w:pPr>
                              <w:pStyle w:val="Style28"/>
                              <w:spacing w:before="0" w:after="0"/>
                              <w:jc w:val="center"/>
                              <w:rPr/>
                            </w:pPr>
                            <w:r>
                              <w:rPr>
                                <w:rFonts w:eastAsia="Open Sans" w:cs="Open Sans" w:ascii="Open Sans" w:hAnsi="Open Sans"/>
                                <w:b/>
                                <w:bCs/>
                                <w:color w:val="FFFFFF"/>
                                <w:sz w:val="24"/>
                                <w:szCs w:val="24"/>
                                <w:lang w:val="el-GR"/>
                              </w:rPr>
                              <w:t>ΟΦΕΛΗ</w:t>
                            </w:r>
                          </w:p>
                        </w:txbxContent>
                      </wps:txbx>
                      <wps:bodyPr anchor="ctr">
                        <a:noAutofit/>
                      </wps:bodyPr>
                    </wps:wsp>
                  </a:graphicData>
                </a:graphic>
              </wp:anchor>
            </w:drawing>
          </mc:Choice>
          <mc:Fallback>
            <w:pict>
              <v:oval id="shape_0" ID="Elipsa 6" fillcolor="#00a984" stroked="t" style="position:absolute;margin-left:24.85pt;margin-top:14.1pt;width:115.2pt;height:60.75pt" wp14:anchorId="03AFCC9A">
                <w10:wrap type="square"/>
                <v:fill o:detectmouseclick="t" type="solid" color2="#ff567b"/>
                <v:stroke color="black" weight="12600" joinstyle="miter" endcap="flat"/>
                <v:textbox>
                  <w:txbxContent>
                    <w:p>
                      <w:pPr>
                        <w:pStyle w:val="Style28"/>
                        <w:spacing w:before="0" w:after="0"/>
                        <w:jc w:val="center"/>
                        <w:rPr/>
                      </w:pPr>
                      <w:r>
                        <w:rPr>
                          <w:rFonts w:eastAsia="Open Sans" w:cs="Open Sans" w:ascii="Open Sans" w:hAnsi="Open Sans"/>
                          <w:b/>
                          <w:bCs/>
                          <w:color w:val="FFFFFF"/>
                          <w:sz w:val="24"/>
                          <w:szCs w:val="24"/>
                          <w:lang w:val="el-GR"/>
                        </w:rPr>
                        <w:t>ΟΦΕΛΗ</w:t>
                      </w:r>
                    </w:p>
                  </w:txbxContent>
                </v:textbox>
              </v:oval>
            </w:pict>
          </mc:Fallback>
        </mc:AlternateContent>
        <mc:AlternateContent>
          <mc:Choice Requires="wps">
            <w:drawing>
              <wp:anchor behindDoc="0" distT="0" distB="0" distL="0" distR="0" simplePos="0" locked="0" layoutInCell="1" allowOverlap="1" relativeHeight="14" wp14:anchorId="22F24E00">
                <wp:simplePos x="0" y="0"/>
                <wp:positionH relativeFrom="column">
                  <wp:posOffset>3891280</wp:posOffset>
                </wp:positionH>
                <wp:positionV relativeFrom="paragraph">
                  <wp:posOffset>239395</wp:posOffset>
                </wp:positionV>
                <wp:extent cx="1430020" cy="788670"/>
                <wp:effectExtent l="0" t="0" r="19050" b="12700"/>
                <wp:wrapNone/>
                <wp:docPr id="5" name="Elipsa 7"/>
                <a:graphic xmlns:a="http://schemas.openxmlformats.org/drawingml/2006/main">
                  <a:graphicData uri="http://schemas.microsoft.com/office/word/2010/wordprocessingShape">
                    <wps:wsp>
                      <wps:cNvSpPr/>
                      <wps:spPr>
                        <a:xfrm>
                          <a:off x="0" y="0"/>
                          <a:ext cx="1429560" cy="788040"/>
                        </a:xfrm>
                        <a:prstGeom prst="ellipse">
                          <a:avLst/>
                        </a:prstGeom>
                        <a:solidFill>
                          <a:srgbClr val="00a984"/>
                        </a:solidFill>
                        <a:ln w="12600">
                          <a:solidFill>
                            <a:srgbClr val="000000"/>
                          </a:solidFill>
                          <a:miter/>
                        </a:ln>
                      </wps:spPr>
                      <wps:style>
                        <a:lnRef idx="0"/>
                        <a:fillRef idx="0"/>
                        <a:effectRef idx="0"/>
                        <a:fontRef idx="minor"/>
                      </wps:style>
                      <wps:txbx>
                        <w:txbxContent>
                          <w:p>
                            <w:pPr>
                              <w:pStyle w:val="Style28"/>
                              <w:spacing w:before="0" w:after="0"/>
                              <w:jc w:val="center"/>
                              <w:rPr/>
                            </w:pPr>
                            <w:r>
                              <w:rPr>
                                <w:rFonts w:eastAsia="Open Sans" w:cs="Open Sans" w:ascii="Open Sans" w:hAnsi="Open Sans"/>
                                <w:b/>
                                <w:bCs/>
                                <w:color w:val="FFFFFF"/>
                                <w:sz w:val="24"/>
                                <w:szCs w:val="24"/>
                                <w:lang w:val="el-GR"/>
                              </w:rPr>
                              <w:t>ΚΙΝΔΥΝΟΙ</w:t>
                            </w:r>
                          </w:p>
                        </w:txbxContent>
                      </wps:txbx>
                      <wps:bodyPr anchor="ctr">
                        <a:noAutofit/>
                      </wps:bodyPr>
                    </wps:wsp>
                  </a:graphicData>
                </a:graphic>
              </wp:anchor>
            </w:drawing>
          </mc:Choice>
          <mc:Fallback>
            <w:pict>
              <v:oval id="shape_0" ID="Elipsa 7" fillcolor="#00a984" stroked="t" style="position:absolute;margin-left:306.4pt;margin-top:18.85pt;width:112.5pt;height:62pt" wp14:anchorId="22F24E00">
                <w10:wrap type="square"/>
                <v:fill o:detectmouseclick="t" type="solid" color2="#ff567b"/>
                <v:stroke color="black" weight="12600" joinstyle="miter" endcap="flat"/>
                <v:textbox>
                  <w:txbxContent>
                    <w:p>
                      <w:pPr>
                        <w:pStyle w:val="Style28"/>
                        <w:spacing w:before="0" w:after="0"/>
                        <w:jc w:val="center"/>
                        <w:rPr/>
                      </w:pPr>
                      <w:r>
                        <w:rPr>
                          <w:rFonts w:eastAsia="Open Sans" w:cs="Open Sans" w:ascii="Open Sans" w:hAnsi="Open Sans"/>
                          <w:b/>
                          <w:bCs/>
                          <w:color w:val="FFFFFF"/>
                          <w:sz w:val="24"/>
                          <w:szCs w:val="24"/>
                          <w:lang w:val="el-GR"/>
                        </w:rPr>
                        <w:t>ΚΙΝΔΥΝΟΙ</w:t>
                      </w:r>
                    </w:p>
                  </w:txbxContent>
                </v:textbox>
              </v:oval>
            </w:pict>
          </mc:Fallback>
        </mc:AlternateContent>
      </w:r>
    </w:p>
    <w:p>
      <w:pPr>
        <w:pStyle w:val="Normal"/>
        <w:rPr>
          <w:rFonts w:ascii="Open Sans" w:hAnsi="Open Sans" w:eastAsia="Times New Roman" w:cs="Open Sans"/>
          <w:b/>
          <w:b/>
          <w:bCs/>
          <w:kern w:val="0"/>
          <w:lang w:val="el-GR" w:eastAsia="sl-SI"/>
          <w14:ligatures w14:val="none"/>
        </w:rPr>
      </w:pPr>
      <w:r>
        <w:rPr>
          <w:rFonts w:eastAsia="Times New Roman" w:cs="Open Sans" w:ascii="Open Sans" w:hAnsi="Open Sans"/>
          <w:b/>
          <w:bCs/>
          <w:kern w:val="0"/>
          <w:lang w:val="el-GR" w:eastAsia="sl-SI"/>
          <w14:ligatures w14:val="none"/>
        </w:rPr>
      </w:r>
    </w:p>
    <w:p>
      <w:pPr>
        <w:pStyle w:val="Normal"/>
        <w:rPr>
          <w:rFonts w:ascii="Open Sans" w:hAnsi="Open Sans" w:eastAsia="Times New Roman" w:cs="Open Sans"/>
          <w:b/>
          <w:b/>
          <w:bCs/>
          <w:kern w:val="0"/>
          <w:lang w:val="el-GR" w:eastAsia="sl-SI"/>
          <w14:ligatures w14:val="none"/>
        </w:rPr>
      </w:pPr>
      <w:r>
        <w:rPr>
          <w:rFonts w:eastAsia="Times New Roman" w:cs="Open Sans" w:ascii="Open Sans" w:hAnsi="Open Sans"/>
          <w:b/>
          <w:bCs/>
          <w:kern w:val="0"/>
          <w:lang w:val="el-GR" w:eastAsia="sl-SI"/>
          <w14:ligatures w14:val="none"/>
        </w:rPr>
        <mc:AlternateContent>
          <mc:Choice Requires="wps">
            <w:drawing>
              <wp:anchor behindDoc="0" distT="0" distB="0" distL="0" distR="0" simplePos="0" locked="0" layoutInCell="1" allowOverlap="1" relativeHeight="15" wp14:anchorId="1F541BD4">
                <wp:simplePos x="0" y="0"/>
                <wp:positionH relativeFrom="column">
                  <wp:posOffset>1836420</wp:posOffset>
                </wp:positionH>
                <wp:positionV relativeFrom="paragraph">
                  <wp:posOffset>103505</wp:posOffset>
                </wp:positionV>
                <wp:extent cx="2096135" cy="1059180"/>
                <wp:effectExtent l="0" t="0" r="19685" b="28575"/>
                <wp:wrapNone/>
                <wp:docPr id="7" name="Elipsa 8"/>
                <a:graphic xmlns:a="http://schemas.openxmlformats.org/drawingml/2006/main">
                  <a:graphicData uri="http://schemas.microsoft.com/office/word/2010/wordprocessingShape">
                    <wps:wsp>
                      <wps:cNvSpPr/>
                      <wps:spPr>
                        <a:xfrm>
                          <a:off x="0" y="0"/>
                          <a:ext cx="2095560" cy="1058400"/>
                        </a:xfrm>
                        <a:prstGeom prst="ellipse">
                          <a:avLst/>
                        </a:prstGeom>
                        <a:solidFill>
                          <a:srgbClr val="e97132"/>
                        </a:solidFill>
                        <a:ln>
                          <a:solidFill>
                            <a:srgbClr val="000000"/>
                          </a:solidFill>
                        </a:ln>
                      </wps:spPr>
                      <wps:style>
                        <a:lnRef idx="0"/>
                        <a:fillRef idx="0"/>
                        <a:effectRef idx="0"/>
                        <a:fontRef idx="minor"/>
                      </wps:style>
                      <wps:txbx>
                        <w:txbxContent>
                          <w:p>
                            <w:pPr>
                              <w:pStyle w:val="Style28"/>
                              <w:spacing w:before="0" w:after="0"/>
                              <w:jc w:val="center"/>
                              <w:rPr/>
                            </w:pPr>
                            <w:r>
                              <w:rPr>
                                <w:rFonts w:eastAsia="Open Sans" w:cs="Open Sans" w:ascii="Open Sans" w:hAnsi="Open Sans"/>
                                <w:b/>
                                <w:bCs/>
                                <w:color w:val="FFFFFF"/>
                                <w:kern w:val="2"/>
                                <w:lang w:val="el-GR"/>
                              </w:rPr>
                              <w:t>ΣΥΝΔΥΑΣΤΙΚΗ ΧΡΗΜΑΤΟΔΟΤΗΣΗ</w:t>
                            </w:r>
                          </w:p>
                        </w:txbxContent>
                      </wps:txbx>
                      <wps:bodyPr anchor="ctr">
                        <a:noAutofit/>
                      </wps:bodyPr>
                    </wps:wsp>
                  </a:graphicData>
                </a:graphic>
              </wp:anchor>
            </w:drawing>
          </mc:Choice>
          <mc:Fallback>
            <w:pict>
              <v:oval id="shape_0" ID="Elipsa 8" fillcolor="#e97132" stroked="t" style="position:absolute;margin-left:144.6pt;margin-top:8.15pt;width:164.95pt;height:83.3pt" wp14:anchorId="1F541BD4">
                <w10:wrap type="square"/>
                <v:fill o:detectmouseclick="t" type="solid" color2="#168ecd"/>
                <v:stroke color="black" joinstyle="round" endcap="flat"/>
                <v:textbox>
                  <w:txbxContent>
                    <w:p>
                      <w:pPr>
                        <w:pStyle w:val="Style28"/>
                        <w:spacing w:before="0" w:after="0"/>
                        <w:jc w:val="center"/>
                        <w:rPr/>
                      </w:pPr>
                      <w:r>
                        <w:rPr>
                          <w:rFonts w:eastAsia="Open Sans" w:cs="Open Sans" w:ascii="Open Sans" w:hAnsi="Open Sans"/>
                          <w:b/>
                          <w:bCs/>
                          <w:color w:val="FFFFFF"/>
                          <w:kern w:val="2"/>
                          <w:lang w:val="el-GR"/>
                        </w:rPr>
                        <w:t>ΣΥΝΔΥΑΣΤΙΚΗ ΧΡΗΜΑΤΟΔΟΤΗΣΗ</w:t>
                      </w:r>
                    </w:p>
                  </w:txbxContent>
                </v:textbox>
              </v:oval>
            </w:pict>
          </mc:Fallback>
        </mc:AlternateContent>
      </w:r>
    </w:p>
    <w:p>
      <w:pPr>
        <w:pStyle w:val="Normal"/>
        <w:rPr>
          <w:rFonts w:ascii="Open Sans" w:hAnsi="Open Sans" w:eastAsia="Times New Roman" w:cs="Open Sans"/>
          <w:b/>
          <w:b/>
          <w:bCs/>
          <w:kern w:val="0"/>
          <w:lang w:val="el-GR" w:eastAsia="sl-SI"/>
          <w14:ligatures w14:val="none"/>
        </w:rPr>
      </w:pPr>
      <w:r>
        <w:rPr>
          <w:rFonts w:eastAsia="Times New Roman" w:cs="Open Sans" w:ascii="Open Sans" w:hAnsi="Open Sans"/>
          <w:b/>
          <w:bCs/>
          <w:kern w:val="0"/>
          <w:lang w:val="el-GR" w:eastAsia="sl-SI"/>
          <w14:ligatures w14:val="none"/>
        </w:rPr>
        <mc:AlternateContent>
          <mc:Choice Requires="wps">
            <w:drawing>
              <wp:anchor behindDoc="0" distT="0" distB="0" distL="0" distR="0" simplePos="0" locked="0" layoutInCell="1" allowOverlap="1" relativeHeight="16" wp14:anchorId="1F555D87">
                <wp:simplePos x="0" y="0"/>
                <wp:positionH relativeFrom="column">
                  <wp:posOffset>-132080</wp:posOffset>
                </wp:positionH>
                <wp:positionV relativeFrom="paragraph">
                  <wp:posOffset>101600</wp:posOffset>
                </wp:positionV>
                <wp:extent cx="2291715" cy="2432050"/>
                <wp:effectExtent l="0" t="19050" r="14605" b="26670"/>
                <wp:wrapNone/>
                <wp:docPr id="9" name="Oblaček: puščica gor 11"/>
                <a:graphic xmlns:a="http://schemas.openxmlformats.org/drawingml/2006/main">
                  <a:graphicData uri="http://schemas.microsoft.com/office/word/2010/wordprocessingShape">
                    <wps:wsp>
                      <wps:cNvSpPr/>
                      <wps:spPr>
                        <a:xfrm>
                          <a:off x="0" y="0"/>
                          <a:ext cx="2291040" cy="2431440"/>
                        </a:xfrm>
                        <a:prstGeom prst="upArrowCallout">
                          <a:avLst>
                            <a:gd name="adj1" fmla="val 25000"/>
                            <a:gd name="adj2" fmla="val 25000"/>
                            <a:gd name="adj3" fmla="val 25000"/>
                            <a:gd name="adj4" fmla="val 64977"/>
                          </a:avLst>
                        </a:prstGeom>
                        <a:solidFill>
                          <a:srgbClr val="ffffff"/>
                        </a:solidFill>
                        <a:ln w="19080">
                          <a:solidFill>
                            <a:srgbClr val="00a984"/>
                          </a:solidFill>
                          <a:miter/>
                        </a:ln>
                      </wps:spPr>
                      <wps:style>
                        <a:lnRef idx="0"/>
                        <a:fillRef idx="0"/>
                        <a:effectRef idx="0"/>
                        <a:fontRef idx="minor"/>
                      </wps:style>
                      <wps:txbx>
                        <w:txbxContent>
                          <w:p>
                            <w:pPr>
                              <w:pStyle w:val="ListParagraph"/>
                              <w:numPr>
                                <w:ilvl w:val="0"/>
                                <w:numId w:val="3"/>
                              </w:numPr>
                              <w:spacing w:lineRule="auto" w:line="240" w:before="0" w:after="0"/>
                              <w:contextualSpacing/>
                              <w:rPr>
                                <w:rFonts w:ascii="Open Sans" w:hAnsi="Open Sans" w:eastAsia="Open Sans" w:cs="Open Sans"/>
                                <w:color w:val="000000"/>
                                <w:kern w:val="2"/>
                                <w:sz w:val="18"/>
                                <w:szCs w:val="18"/>
                                <w:lang w:val="el-GR"/>
                              </w:rPr>
                            </w:pPr>
                            <w:r>
                              <w:rPr>
                                <w:rFonts w:eastAsia="Open Sans" w:cs="Open Sans" w:ascii="Open Sans" w:hAnsi="Open Sans"/>
                                <w:color w:val="000000"/>
                                <w:kern w:val="2"/>
                                <w:sz w:val="18"/>
                                <w:szCs w:val="18"/>
                                <w:lang w:val="el-GR"/>
                              </w:rPr>
                              <w:t>ΜΟΧΛΕΥΣΗ</w:t>
                            </w:r>
                          </w:p>
                          <w:p>
                            <w:pPr>
                              <w:pStyle w:val="ListParagraph"/>
                              <w:numPr>
                                <w:ilvl w:val="0"/>
                                <w:numId w:val="3"/>
                              </w:numPr>
                              <w:spacing w:lineRule="auto" w:line="240" w:before="0" w:after="0"/>
                              <w:contextualSpacing/>
                              <w:rPr>
                                <w:rFonts w:ascii="Open Sans" w:hAnsi="Open Sans" w:eastAsia="Open Sans" w:cs="Open Sans"/>
                                <w:color w:val="000000"/>
                                <w:kern w:val="2"/>
                                <w:sz w:val="18"/>
                                <w:szCs w:val="18"/>
                                <w:lang w:val="el-GR"/>
                              </w:rPr>
                            </w:pPr>
                            <w:r>
                              <w:rPr>
                                <w:rFonts w:eastAsia="Open Sans" w:cs="Open Sans" w:ascii="Open Sans" w:hAnsi="Open Sans"/>
                                <w:color w:val="000000"/>
                                <w:kern w:val="2"/>
                                <w:sz w:val="18"/>
                                <w:szCs w:val="18"/>
                                <w:lang w:val="el-GR"/>
                              </w:rPr>
                              <w:t>ΙΣΧΥΡΟΤΕΡΟΣ ΑΝΤΙΚΤΥΠΟΣ</w:t>
                            </w:r>
                          </w:p>
                          <w:p>
                            <w:pPr>
                              <w:pStyle w:val="ListParagraph"/>
                              <w:numPr>
                                <w:ilvl w:val="0"/>
                                <w:numId w:val="3"/>
                              </w:numPr>
                              <w:spacing w:lineRule="auto" w:line="240" w:before="0" w:after="0"/>
                              <w:contextualSpacing/>
                              <w:rPr>
                                <w:rFonts w:ascii="Open Sans" w:hAnsi="Open Sans" w:eastAsia="Open Sans" w:cs="Open Sans"/>
                                <w:color w:val="000000"/>
                                <w:kern w:val="2"/>
                                <w:sz w:val="18"/>
                                <w:szCs w:val="18"/>
                                <w:lang w:val="el-GR"/>
                              </w:rPr>
                            </w:pPr>
                            <w:r>
                              <w:rPr>
                                <w:rFonts w:eastAsia="Open Sans" w:cs="Open Sans" w:ascii="Open Sans" w:hAnsi="Open Sans"/>
                                <w:color w:val="000000"/>
                                <w:kern w:val="2"/>
                                <w:sz w:val="18"/>
                                <w:szCs w:val="18"/>
                                <w:lang w:val="el-GR"/>
                              </w:rPr>
                              <w:t>ΚΟΙΝΩΝΙΚΗ ΠΡΟΣΤΙΘΕΜΕΝΗ ΑΞΙΑ</w:t>
                            </w:r>
                          </w:p>
                          <w:p>
                            <w:pPr>
                              <w:pStyle w:val="ListParagraph"/>
                              <w:numPr>
                                <w:ilvl w:val="0"/>
                                <w:numId w:val="3"/>
                              </w:numPr>
                              <w:spacing w:lineRule="auto" w:line="240" w:before="0" w:after="0"/>
                              <w:contextualSpacing/>
                              <w:rPr>
                                <w:rFonts w:ascii="Open Sans" w:hAnsi="Open Sans" w:eastAsia="Open Sans" w:cs="Open Sans"/>
                                <w:color w:val="000000"/>
                                <w:kern w:val="2"/>
                                <w:sz w:val="18"/>
                                <w:szCs w:val="18"/>
                                <w:lang w:val="el-GR"/>
                              </w:rPr>
                            </w:pPr>
                            <w:r>
                              <w:rPr>
                                <w:rFonts w:eastAsia="Open Sans" w:cs="Open Sans" w:ascii="Open Sans" w:hAnsi="Open Sans"/>
                                <w:color w:val="000000"/>
                                <w:kern w:val="2"/>
                                <w:sz w:val="18"/>
                                <w:szCs w:val="18"/>
                                <w:lang w:val="el-GR"/>
                              </w:rPr>
                              <w:t>ΠΡΟΣΘΕΤΙΚΟΤΗΤΑ</w:t>
                            </w:r>
                          </w:p>
                          <w:p>
                            <w:pPr>
                              <w:pStyle w:val="ListParagraph"/>
                              <w:numPr>
                                <w:ilvl w:val="0"/>
                                <w:numId w:val="3"/>
                              </w:numPr>
                              <w:spacing w:lineRule="auto" w:line="240" w:before="0" w:after="0"/>
                              <w:contextualSpacing/>
                              <w:rPr>
                                <w:rFonts w:ascii="Open Sans" w:hAnsi="Open Sans" w:eastAsia="Open Sans" w:cs="Open Sans"/>
                                <w:color w:val="000000"/>
                                <w:kern w:val="2"/>
                                <w:sz w:val="18"/>
                                <w:szCs w:val="18"/>
                                <w:lang w:val="el-GR"/>
                              </w:rPr>
                            </w:pPr>
                            <w:r>
                              <w:rPr>
                                <w:rFonts w:eastAsia="Open Sans" w:cs="Open Sans" w:ascii="Open Sans" w:hAnsi="Open Sans"/>
                                <w:color w:val="000000"/>
                                <w:kern w:val="2"/>
                                <w:sz w:val="18"/>
                                <w:szCs w:val="18"/>
                                <w:lang w:val="el-GR"/>
                              </w:rPr>
                              <w:t>ΕΝΙΣΧΥΣΗ ΚΑΙΝΟΤΟΜΙΑΣ</w:t>
                            </w:r>
                          </w:p>
                          <w:p>
                            <w:pPr>
                              <w:pStyle w:val="ListParagraph"/>
                              <w:numPr>
                                <w:ilvl w:val="0"/>
                                <w:numId w:val="3"/>
                              </w:numPr>
                              <w:spacing w:lineRule="auto" w:line="240" w:before="0" w:after="0"/>
                              <w:contextualSpacing/>
                              <w:rPr>
                                <w:rFonts w:ascii="Open Sans" w:hAnsi="Open Sans" w:eastAsia="Open Sans" w:cs="Open Sans"/>
                                <w:color w:val="000000"/>
                                <w:kern w:val="2"/>
                                <w:sz w:val="18"/>
                                <w:szCs w:val="18"/>
                                <w:lang w:val="el-GR"/>
                              </w:rPr>
                            </w:pPr>
                            <w:r>
                              <w:rPr>
                                <w:rFonts w:eastAsia="Open Sans" w:cs="Open Sans" w:ascii="Open Sans" w:hAnsi="Open Sans"/>
                                <w:color w:val="000000"/>
                                <w:kern w:val="2"/>
                                <w:sz w:val="18"/>
                                <w:szCs w:val="18"/>
                                <w:lang w:val="el-GR"/>
                              </w:rPr>
                              <w:t>ΑΥΞΗΜΕΝΗ ΟΡΑΤΟΤΗΤΑ ΚΑΙ ΛΟΓΟΔΟΣΙΑ</w:t>
                            </w:r>
                          </w:p>
                          <w:p>
                            <w:pPr>
                              <w:pStyle w:val="ListParagraph"/>
                              <w:numPr>
                                <w:ilvl w:val="0"/>
                                <w:numId w:val="3"/>
                              </w:numPr>
                              <w:spacing w:lineRule="auto" w:line="240" w:before="0" w:after="0"/>
                              <w:contextualSpacing/>
                              <w:rPr>
                                <w:rFonts w:ascii="Open Sans" w:hAnsi="Open Sans" w:eastAsia="Open Sans" w:cs="Open Sans"/>
                                <w:color w:val="000000"/>
                                <w:kern w:val="2"/>
                                <w:sz w:val="18"/>
                                <w:szCs w:val="18"/>
                                <w:lang w:val="el-GR"/>
                              </w:rPr>
                            </w:pPr>
                            <w:r>
                              <w:rPr>
                                <w:rFonts w:eastAsia="Open Sans" w:cs="Open Sans" w:ascii="Open Sans" w:hAnsi="Open Sans"/>
                                <w:color w:val="000000"/>
                                <w:kern w:val="2"/>
                                <w:sz w:val="18"/>
                                <w:szCs w:val="18"/>
                                <w:lang w:val="el-GR"/>
                              </w:rPr>
                              <w:t>ΕΝΔΥΝΑΜΩΣΗ ΠΟΛΙΤΩΝ</w:t>
                            </w:r>
                          </w:p>
                          <w:p>
                            <w:pPr>
                              <w:pStyle w:val="Style28"/>
                              <w:spacing w:before="0" w:after="160"/>
                              <w:jc w:val="center"/>
                              <w:rPr/>
                            </w:pPr>
                            <w:r>
                              <w:rPr>
                                <w:rFonts w:eastAsia="Open Sans" w:cs="Open Sans" w:ascii="Open Sans" w:hAnsi="Open Sans"/>
                                <w:color w:val="000000"/>
                                <w:kern w:val="2"/>
                                <w:lang w:val="el-GR"/>
                              </w:rPr>
                              <w:t xml:space="preserve">  </w:t>
                            </w:r>
                          </w:p>
                        </w:txbxContent>
                      </wps:txbx>
                      <wps:bodyPr anchor="ctr">
                        <a:noAutofit/>
                      </wps:bodyPr>
                    </wps:wsp>
                  </a:graphicData>
                </a:graphic>
              </wp:anchor>
            </w:drawing>
          </mc:Choice>
          <mc:Fallback>
            <w:pict>
              <v:shapetype id="shapetype_79" coordsize="21600,21600" o:spt="79" adj="14035,5400,5400,5400" path="m0@13l@10@13l@10@5l@9@5l10800,l@12@5l@11@5l@11@13l21600@13l21600,21600l,21600xe">
                <v:stroke joinstyle="miter"/>
                <v:formulas>
                  <v:f eqn="val 10800"/>
                  <v:f eqn="val #2"/>
                  <v:f eqn="prod @1 2 1"/>
                  <v:f eqn="val #3"/>
                  <v:f eqn="val 21600"/>
                  <v:f eqn="val #1"/>
                  <v:f eqn="sum 21600 0 @5"/>
                  <v:f eqn="val #0"/>
                  <v:f eqn="prod 1 @3 2"/>
                  <v:f eqn="sum 10800 0 @1"/>
                  <v:f eqn="sum 10800 0 @8"/>
                  <v:f eqn="sum 10800 @8 0"/>
                  <v:f eqn="sum 10800 @1 0"/>
                  <v:f eqn="sum height 0 @7"/>
                  <v:f eqn="sum @13 height 0"/>
                  <v:f eqn="prod 1 @14 2"/>
                </v:formulas>
                <v:path gradientshapeok="t" o:connecttype="rect" textboxrect="0,@13,21600,21600"/>
                <v:handles>
                  <v:h position="@10,@5"/>
                  <v:h position="@9,0"/>
                  <v:h position="21600,@5"/>
                  <v:h position="0,@13"/>
                </v:handles>
              </v:shapetype>
              <v:shape id="shape_0" ID="Oblaček: puščica gor 11" fillcolor="white" stroked="t" style="position:absolute;margin-left:-10.4pt;margin-top:8pt;width:180.35pt;height:191.4pt" wp14:anchorId="1F555D87" type="shapetype_79">
                <w10:wrap type="square"/>
                <v:fill o:detectmouseclick="t" type="solid" color2="black"/>
                <v:stroke color="#00a984" weight="19080" joinstyle="miter" endcap="flat"/>
                <v:textbox>
                  <w:txbxContent>
                    <w:p>
                      <w:pPr>
                        <w:pStyle w:val="ListParagraph"/>
                        <w:numPr>
                          <w:ilvl w:val="0"/>
                          <w:numId w:val="3"/>
                        </w:numPr>
                        <w:spacing w:lineRule="auto" w:line="240" w:before="0" w:after="0"/>
                        <w:contextualSpacing/>
                        <w:rPr>
                          <w:rFonts w:ascii="Open Sans" w:hAnsi="Open Sans" w:eastAsia="Open Sans" w:cs="Open Sans"/>
                          <w:color w:val="000000"/>
                          <w:kern w:val="2"/>
                          <w:sz w:val="18"/>
                          <w:szCs w:val="18"/>
                          <w:lang w:val="el-GR"/>
                        </w:rPr>
                      </w:pPr>
                      <w:r>
                        <w:rPr>
                          <w:rFonts w:eastAsia="Open Sans" w:cs="Open Sans" w:ascii="Open Sans" w:hAnsi="Open Sans"/>
                          <w:color w:val="000000"/>
                          <w:kern w:val="2"/>
                          <w:sz w:val="18"/>
                          <w:szCs w:val="18"/>
                          <w:lang w:val="el-GR"/>
                        </w:rPr>
                        <w:t>ΜΟΧΛΕΥΣΗ</w:t>
                      </w:r>
                    </w:p>
                    <w:p>
                      <w:pPr>
                        <w:pStyle w:val="ListParagraph"/>
                        <w:numPr>
                          <w:ilvl w:val="0"/>
                          <w:numId w:val="3"/>
                        </w:numPr>
                        <w:spacing w:lineRule="auto" w:line="240" w:before="0" w:after="0"/>
                        <w:contextualSpacing/>
                        <w:rPr>
                          <w:rFonts w:ascii="Open Sans" w:hAnsi="Open Sans" w:eastAsia="Open Sans" w:cs="Open Sans"/>
                          <w:color w:val="000000"/>
                          <w:kern w:val="2"/>
                          <w:sz w:val="18"/>
                          <w:szCs w:val="18"/>
                          <w:lang w:val="el-GR"/>
                        </w:rPr>
                      </w:pPr>
                      <w:r>
                        <w:rPr>
                          <w:rFonts w:eastAsia="Open Sans" w:cs="Open Sans" w:ascii="Open Sans" w:hAnsi="Open Sans"/>
                          <w:color w:val="000000"/>
                          <w:kern w:val="2"/>
                          <w:sz w:val="18"/>
                          <w:szCs w:val="18"/>
                          <w:lang w:val="el-GR"/>
                        </w:rPr>
                        <w:t>ΙΣΧΥΡΟΤΕΡΟΣ ΑΝΤΙΚΤΥΠΟΣ</w:t>
                      </w:r>
                    </w:p>
                    <w:p>
                      <w:pPr>
                        <w:pStyle w:val="ListParagraph"/>
                        <w:numPr>
                          <w:ilvl w:val="0"/>
                          <w:numId w:val="3"/>
                        </w:numPr>
                        <w:spacing w:lineRule="auto" w:line="240" w:before="0" w:after="0"/>
                        <w:contextualSpacing/>
                        <w:rPr>
                          <w:rFonts w:ascii="Open Sans" w:hAnsi="Open Sans" w:eastAsia="Open Sans" w:cs="Open Sans"/>
                          <w:color w:val="000000"/>
                          <w:kern w:val="2"/>
                          <w:sz w:val="18"/>
                          <w:szCs w:val="18"/>
                          <w:lang w:val="el-GR"/>
                        </w:rPr>
                      </w:pPr>
                      <w:r>
                        <w:rPr>
                          <w:rFonts w:eastAsia="Open Sans" w:cs="Open Sans" w:ascii="Open Sans" w:hAnsi="Open Sans"/>
                          <w:color w:val="000000"/>
                          <w:kern w:val="2"/>
                          <w:sz w:val="18"/>
                          <w:szCs w:val="18"/>
                          <w:lang w:val="el-GR"/>
                        </w:rPr>
                        <w:t>ΚΟΙΝΩΝΙΚΗ ΠΡΟΣΤΙΘΕΜΕΝΗ ΑΞΙΑ</w:t>
                      </w:r>
                    </w:p>
                    <w:p>
                      <w:pPr>
                        <w:pStyle w:val="ListParagraph"/>
                        <w:numPr>
                          <w:ilvl w:val="0"/>
                          <w:numId w:val="3"/>
                        </w:numPr>
                        <w:spacing w:lineRule="auto" w:line="240" w:before="0" w:after="0"/>
                        <w:contextualSpacing/>
                        <w:rPr>
                          <w:rFonts w:ascii="Open Sans" w:hAnsi="Open Sans" w:eastAsia="Open Sans" w:cs="Open Sans"/>
                          <w:color w:val="000000"/>
                          <w:kern w:val="2"/>
                          <w:sz w:val="18"/>
                          <w:szCs w:val="18"/>
                          <w:lang w:val="el-GR"/>
                        </w:rPr>
                      </w:pPr>
                      <w:r>
                        <w:rPr>
                          <w:rFonts w:eastAsia="Open Sans" w:cs="Open Sans" w:ascii="Open Sans" w:hAnsi="Open Sans"/>
                          <w:color w:val="000000"/>
                          <w:kern w:val="2"/>
                          <w:sz w:val="18"/>
                          <w:szCs w:val="18"/>
                          <w:lang w:val="el-GR"/>
                        </w:rPr>
                        <w:t>ΠΡΟΣΘΕΤΙΚΟΤΗΤΑ</w:t>
                      </w:r>
                    </w:p>
                    <w:p>
                      <w:pPr>
                        <w:pStyle w:val="ListParagraph"/>
                        <w:numPr>
                          <w:ilvl w:val="0"/>
                          <w:numId w:val="3"/>
                        </w:numPr>
                        <w:spacing w:lineRule="auto" w:line="240" w:before="0" w:after="0"/>
                        <w:contextualSpacing/>
                        <w:rPr>
                          <w:rFonts w:ascii="Open Sans" w:hAnsi="Open Sans" w:eastAsia="Open Sans" w:cs="Open Sans"/>
                          <w:color w:val="000000"/>
                          <w:kern w:val="2"/>
                          <w:sz w:val="18"/>
                          <w:szCs w:val="18"/>
                          <w:lang w:val="el-GR"/>
                        </w:rPr>
                      </w:pPr>
                      <w:r>
                        <w:rPr>
                          <w:rFonts w:eastAsia="Open Sans" w:cs="Open Sans" w:ascii="Open Sans" w:hAnsi="Open Sans"/>
                          <w:color w:val="000000"/>
                          <w:kern w:val="2"/>
                          <w:sz w:val="18"/>
                          <w:szCs w:val="18"/>
                          <w:lang w:val="el-GR"/>
                        </w:rPr>
                        <w:t>ΕΝΙΣΧΥΣΗ ΚΑΙΝΟΤΟΜΙΑΣ</w:t>
                      </w:r>
                    </w:p>
                    <w:p>
                      <w:pPr>
                        <w:pStyle w:val="ListParagraph"/>
                        <w:numPr>
                          <w:ilvl w:val="0"/>
                          <w:numId w:val="3"/>
                        </w:numPr>
                        <w:spacing w:lineRule="auto" w:line="240" w:before="0" w:after="0"/>
                        <w:contextualSpacing/>
                        <w:rPr>
                          <w:rFonts w:ascii="Open Sans" w:hAnsi="Open Sans" w:eastAsia="Open Sans" w:cs="Open Sans"/>
                          <w:color w:val="000000"/>
                          <w:kern w:val="2"/>
                          <w:sz w:val="18"/>
                          <w:szCs w:val="18"/>
                          <w:lang w:val="el-GR"/>
                        </w:rPr>
                      </w:pPr>
                      <w:r>
                        <w:rPr>
                          <w:rFonts w:eastAsia="Open Sans" w:cs="Open Sans" w:ascii="Open Sans" w:hAnsi="Open Sans"/>
                          <w:color w:val="000000"/>
                          <w:kern w:val="2"/>
                          <w:sz w:val="18"/>
                          <w:szCs w:val="18"/>
                          <w:lang w:val="el-GR"/>
                        </w:rPr>
                        <w:t>ΑΥΞΗΜΕΝΗ ΟΡΑΤΟΤΗΤΑ ΚΑΙ ΛΟΓΟΔΟΣΙΑ</w:t>
                      </w:r>
                    </w:p>
                    <w:p>
                      <w:pPr>
                        <w:pStyle w:val="ListParagraph"/>
                        <w:numPr>
                          <w:ilvl w:val="0"/>
                          <w:numId w:val="3"/>
                        </w:numPr>
                        <w:spacing w:lineRule="auto" w:line="240" w:before="0" w:after="0"/>
                        <w:contextualSpacing/>
                        <w:rPr>
                          <w:rFonts w:ascii="Open Sans" w:hAnsi="Open Sans" w:eastAsia="Open Sans" w:cs="Open Sans"/>
                          <w:color w:val="000000"/>
                          <w:kern w:val="2"/>
                          <w:sz w:val="18"/>
                          <w:szCs w:val="18"/>
                          <w:lang w:val="el-GR"/>
                        </w:rPr>
                      </w:pPr>
                      <w:r>
                        <w:rPr>
                          <w:rFonts w:eastAsia="Open Sans" w:cs="Open Sans" w:ascii="Open Sans" w:hAnsi="Open Sans"/>
                          <w:color w:val="000000"/>
                          <w:kern w:val="2"/>
                          <w:sz w:val="18"/>
                          <w:szCs w:val="18"/>
                          <w:lang w:val="el-GR"/>
                        </w:rPr>
                        <w:t>ΕΝΔΥΝΑΜΩΣΗ ΠΟΛΙΤΩΝ</w:t>
                      </w:r>
                    </w:p>
                    <w:p>
                      <w:pPr>
                        <w:pStyle w:val="Style28"/>
                        <w:spacing w:before="0" w:after="160"/>
                        <w:jc w:val="center"/>
                        <w:rPr/>
                      </w:pPr>
                      <w:r>
                        <w:rPr>
                          <w:rFonts w:eastAsia="Open Sans" w:cs="Open Sans" w:ascii="Open Sans" w:hAnsi="Open Sans"/>
                          <w:color w:val="000000"/>
                          <w:kern w:val="2"/>
                          <w:lang w:val="el-GR"/>
                        </w:rPr>
                        <w:t xml:space="preserve">  </w:t>
                      </w:r>
                    </w:p>
                  </w:txbxContent>
                </v:textbox>
              </v:shape>
            </w:pict>
          </mc:Fallback>
        </mc:AlternateContent>
        <mc:AlternateContent>
          <mc:Choice Requires="wps">
            <w:drawing>
              <wp:anchor behindDoc="0" distT="0" distB="0" distL="0" distR="0" simplePos="0" locked="0" layoutInCell="1" allowOverlap="1" relativeHeight="17" wp14:anchorId="2C1D492A">
                <wp:simplePos x="0" y="0"/>
                <wp:positionH relativeFrom="column">
                  <wp:posOffset>3426460</wp:posOffset>
                </wp:positionH>
                <wp:positionV relativeFrom="paragraph">
                  <wp:posOffset>163830</wp:posOffset>
                </wp:positionV>
                <wp:extent cx="2362200" cy="2632710"/>
                <wp:effectExtent l="0" t="19050" r="20320" b="16510"/>
                <wp:wrapNone/>
                <wp:docPr id="11" name="Oblaček: puščica gor 12"/>
                <a:graphic xmlns:a="http://schemas.openxmlformats.org/drawingml/2006/main">
                  <a:graphicData uri="http://schemas.microsoft.com/office/word/2010/wordprocessingShape">
                    <wps:wsp>
                      <wps:cNvSpPr/>
                      <wps:spPr>
                        <a:xfrm>
                          <a:off x="0" y="0"/>
                          <a:ext cx="2361600" cy="2631960"/>
                        </a:xfrm>
                        <a:prstGeom prst="upArrowCallout">
                          <a:avLst>
                            <a:gd name="adj1" fmla="val 25000"/>
                            <a:gd name="adj2" fmla="val 25000"/>
                            <a:gd name="adj3" fmla="val 25000"/>
                            <a:gd name="adj4" fmla="val 64977"/>
                          </a:avLst>
                        </a:prstGeom>
                        <a:ln>
                          <a:solidFill>
                            <a:srgbClr val="00a984"/>
                          </a:solidFill>
                        </a:ln>
                      </wps:spPr>
                      <wps:style>
                        <a:lnRef idx="2">
                          <a:schemeClr val="accent6"/>
                        </a:lnRef>
                        <a:fillRef idx="1">
                          <a:schemeClr val="lt1"/>
                        </a:fillRef>
                        <a:effectRef idx="0">
                          <a:schemeClr val="accent6"/>
                        </a:effectRef>
                        <a:fontRef idx="minor"/>
                      </wps:style>
                      <wps:txbx>
                        <w:txbxContent>
                          <w:p>
                            <w:pPr>
                              <w:pStyle w:val="ListParagraph"/>
                              <w:numPr>
                                <w:ilvl w:val="0"/>
                                <w:numId w:val="4"/>
                              </w:numPr>
                              <w:spacing w:lineRule="auto" w:line="240" w:before="0" w:after="0"/>
                              <w:contextualSpacing/>
                              <w:rPr>
                                <w:rFonts w:ascii="Open Sans" w:hAnsi="Open Sans" w:eastAsia="Open Sans" w:cs="Open Sans"/>
                                <w:color w:val="000000"/>
                                <w:kern w:val="2"/>
                                <w:sz w:val="18"/>
                                <w:szCs w:val="18"/>
                              </w:rPr>
                            </w:pPr>
                            <w:r>
                              <w:rPr>
                                <w:rFonts w:eastAsia="Open Sans" w:cs="Open Sans" w:ascii="Open Sans" w:hAnsi="Open Sans"/>
                                <w:color w:val="000000"/>
                                <w:kern w:val="2"/>
                                <w:sz w:val="18"/>
                                <w:szCs w:val="18"/>
                                <w:lang w:val="el-GR"/>
                              </w:rPr>
                              <w:t>ΠΙΘΑΝΗ ΖΗΜΙΑ ΣΤΗ ΦΗΜΗ</w:t>
                            </w:r>
                          </w:p>
                          <w:p>
                            <w:pPr>
                              <w:pStyle w:val="ListParagraph"/>
                              <w:numPr>
                                <w:ilvl w:val="0"/>
                                <w:numId w:val="4"/>
                              </w:numPr>
                              <w:spacing w:lineRule="auto" w:line="240" w:before="0" w:after="0"/>
                              <w:contextualSpacing/>
                              <w:rPr>
                                <w:rFonts w:ascii="Open Sans" w:hAnsi="Open Sans" w:eastAsia="Open Sans" w:cs="Open Sans"/>
                                <w:color w:val="000000"/>
                                <w:kern w:val="2"/>
                                <w:sz w:val="18"/>
                                <w:szCs w:val="18"/>
                              </w:rPr>
                            </w:pPr>
                            <w:r>
                              <w:rPr>
                                <w:rFonts w:eastAsia="Open Sans" w:cs="Open Sans" w:ascii="Open Sans" w:hAnsi="Open Sans"/>
                                <w:color w:val="000000"/>
                                <w:kern w:val="2"/>
                                <w:sz w:val="18"/>
                                <w:szCs w:val="18"/>
                                <w:lang w:val="el-GR"/>
                              </w:rPr>
                              <w:t>ΚΑΤΑΝΟΜΗ ΕΞΟΥΣΙΑΣ ΛΗΨΗΣ ΑΠΟΦΑΣΕΩΝ</w:t>
                            </w:r>
                          </w:p>
                          <w:p>
                            <w:pPr>
                              <w:pStyle w:val="ListParagraph"/>
                              <w:numPr>
                                <w:ilvl w:val="0"/>
                                <w:numId w:val="4"/>
                              </w:numPr>
                              <w:spacing w:lineRule="auto" w:line="240" w:before="0" w:after="0"/>
                              <w:contextualSpacing/>
                              <w:rPr>
                                <w:rFonts w:ascii="Open Sans" w:hAnsi="Open Sans" w:eastAsia="Open Sans" w:cs="Open Sans"/>
                                <w:color w:val="000000"/>
                                <w:kern w:val="2"/>
                                <w:sz w:val="18"/>
                                <w:szCs w:val="18"/>
                              </w:rPr>
                            </w:pPr>
                            <w:r>
                              <w:rPr>
                                <w:rFonts w:eastAsia="Open Sans" w:cs="Open Sans" w:ascii="Open Sans" w:hAnsi="Open Sans"/>
                                <w:color w:val="000000"/>
                                <w:kern w:val="2"/>
                                <w:sz w:val="18"/>
                                <w:szCs w:val="18"/>
                                <w:lang w:val="el-GR"/>
                              </w:rPr>
                              <w:t>ΕΞΑΡΤΗΣΗ ΑΠΟ ΤΗ ΔΥΝΑΜΙΚΗ ΤΗΣ ΑΓΟΡΑΣ</w:t>
                            </w:r>
                          </w:p>
                          <w:p>
                            <w:pPr>
                              <w:pStyle w:val="ListParagraph"/>
                              <w:numPr>
                                <w:ilvl w:val="0"/>
                                <w:numId w:val="4"/>
                              </w:numPr>
                              <w:spacing w:lineRule="auto" w:line="240" w:before="0" w:after="0"/>
                              <w:contextualSpacing/>
                              <w:rPr>
                                <w:rFonts w:ascii="Open Sans" w:hAnsi="Open Sans" w:eastAsia="Open Sans" w:cs="Open Sans"/>
                                <w:color w:val="000000"/>
                                <w:kern w:val="2"/>
                                <w:sz w:val="18"/>
                                <w:szCs w:val="18"/>
                              </w:rPr>
                            </w:pPr>
                            <w:r>
                              <w:rPr>
                                <w:rFonts w:eastAsia="Open Sans" w:cs="Open Sans" w:ascii="Open Sans" w:hAnsi="Open Sans"/>
                                <w:color w:val="000000"/>
                                <w:kern w:val="2"/>
                                <w:sz w:val="18"/>
                                <w:szCs w:val="18"/>
                                <w:lang w:val="el-GR"/>
                              </w:rPr>
                              <w:t>ΕΛΛΕΙΨΗ ΡΕΥΣΤΟΤΗΤΑΣ</w:t>
                            </w:r>
                          </w:p>
                          <w:p>
                            <w:pPr>
                              <w:pStyle w:val="ListParagraph"/>
                              <w:numPr>
                                <w:ilvl w:val="0"/>
                                <w:numId w:val="4"/>
                              </w:numPr>
                              <w:spacing w:lineRule="auto" w:line="240" w:before="0" w:after="0"/>
                              <w:contextualSpacing/>
                              <w:rPr/>
                            </w:pPr>
                            <w:r>
                              <w:rPr>
                                <w:rFonts w:eastAsia="Open Sans" w:cs="Open Sans" w:ascii="Open Sans" w:hAnsi="Open Sans"/>
                                <w:color w:val="000000"/>
                                <w:kern w:val="2"/>
                                <w:sz w:val="18"/>
                                <w:szCs w:val="18"/>
                                <w:lang w:val="el-GR"/>
                              </w:rPr>
                              <w:t>ΚΙΝΔΥΝΟΙ ΛΟΓΩ ΣΥΝΕΡΓΑΣΙΑΣ ΜΕ ΠΛΑΤΦΟΡΜΕΣ ΣΥΜΜΕΤΟΧΙΚΗΣ ΧΡΗΜΑΤΟΔΟΤΗΣ</w:t>
                            </w:r>
                          </w:p>
                        </w:txbxContent>
                      </wps:txbx>
                      <wps:bodyPr anchor="ctr">
                        <a:noAutofit/>
                      </wps:bodyPr>
                    </wps:wsp>
                  </a:graphicData>
                </a:graphic>
              </wp:anchor>
            </w:drawing>
          </mc:Choice>
          <mc:Fallback>
            <w:pict>
              <v:shape id="shape_0" ID="Oblaček: puščica gor 12" fillcolor="white" stroked="t" style="position:absolute;margin-left:269.8pt;margin-top:12.9pt;width:185.9pt;height:207.2pt" wp14:anchorId="2C1D492A" type="shapetype_79">
                <w10:wrap type="square"/>
                <v:fill o:detectmouseclick="t" type="solid" color2="black"/>
                <v:stroke color="#00a984" weight="12600" joinstyle="miter" endcap="flat"/>
                <v:textbox>
                  <w:txbxContent>
                    <w:p>
                      <w:pPr>
                        <w:pStyle w:val="ListParagraph"/>
                        <w:numPr>
                          <w:ilvl w:val="0"/>
                          <w:numId w:val="4"/>
                        </w:numPr>
                        <w:spacing w:lineRule="auto" w:line="240" w:before="0" w:after="0"/>
                        <w:contextualSpacing/>
                        <w:rPr>
                          <w:rFonts w:ascii="Open Sans" w:hAnsi="Open Sans" w:eastAsia="Open Sans" w:cs="Open Sans"/>
                          <w:color w:val="000000"/>
                          <w:kern w:val="2"/>
                          <w:sz w:val="18"/>
                          <w:szCs w:val="18"/>
                        </w:rPr>
                      </w:pPr>
                      <w:r>
                        <w:rPr>
                          <w:rFonts w:eastAsia="Open Sans" w:cs="Open Sans" w:ascii="Open Sans" w:hAnsi="Open Sans"/>
                          <w:color w:val="000000"/>
                          <w:kern w:val="2"/>
                          <w:sz w:val="18"/>
                          <w:szCs w:val="18"/>
                          <w:lang w:val="el-GR"/>
                        </w:rPr>
                        <w:t>ΠΙΘΑΝΗ ΖΗΜΙΑ ΣΤΗ ΦΗΜΗ</w:t>
                      </w:r>
                    </w:p>
                    <w:p>
                      <w:pPr>
                        <w:pStyle w:val="ListParagraph"/>
                        <w:numPr>
                          <w:ilvl w:val="0"/>
                          <w:numId w:val="4"/>
                        </w:numPr>
                        <w:spacing w:lineRule="auto" w:line="240" w:before="0" w:after="0"/>
                        <w:contextualSpacing/>
                        <w:rPr>
                          <w:rFonts w:ascii="Open Sans" w:hAnsi="Open Sans" w:eastAsia="Open Sans" w:cs="Open Sans"/>
                          <w:color w:val="000000"/>
                          <w:kern w:val="2"/>
                          <w:sz w:val="18"/>
                          <w:szCs w:val="18"/>
                        </w:rPr>
                      </w:pPr>
                      <w:r>
                        <w:rPr>
                          <w:rFonts w:eastAsia="Open Sans" w:cs="Open Sans" w:ascii="Open Sans" w:hAnsi="Open Sans"/>
                          <w:color w:val="000000"/>
                          <w:kern w:val="2"/>
                          <w:sz w:val="18"/>
                          <w:szCs w:val="18"/>
                          <w:lang w:val="el-GR"/>
                        </w:rPr>
                        <w:t>ΚΑΤΑΝΟΜΗ ΕΞΟΥΣΙΑΣ ΛΗΨΗΣ ΑΠΟΦΑΣΕΩΝ</w:t>
                      </w:r>
                    </w:p>
                    <w:p>
                      <w:pPr>
                        <w:pStyle w:val="ListParagraph"/>
                        <w:numPr>
                          <w:ilvl w:val="0"/>
                          <w:numId w:val="4"/>
                        </w:numPr>
                        <w:spacing w:lineRule="auto" w:line="240" w:before="0" w:after="0"/>
                        <w:contextualSpacing/>
                        <w:rPr>
                          <w:rFonts w:ascii="Open Sans" w:hAnsi="Open Sans" w:eastAsia="Open Sans" w:cs="Open Sans"/>
                          <w:color w:val="000000"/>
                          <w:kern w:val="2"/>
                          <w:sz w:val="18"/>
                          <w:szCs w:val="18"/>
                        </w:rPr>
                      </w:pPr>
                      <w:r>
                        <w:rPr>
                          <w:rFonts w:eastAsia="Open Sans" w:cs="Open Sans" w:ascii="Open Sans" w:hAnsi="Open Sans"/>
                          <w:color w:val="000000"/>
                          <w:kern w:val="2"/>
                          <w:sz w:val="18"/>
                          <w:szCs w:val="18"/>
                          <w:lang w:val="el-GR"/>
                        </w:rPr>
                        <w:t>ΕΞΑΡΤΗΣΗ ΑΠΟ ΤΗ ΔΥΝΑΜΙΚΗ ΤΗΣ ΑΓΟΡΑΣ</w:t>
                      </w:r>
                    </w:p>
                    <w:p>
                      <w:pPr>
                        <w:pStyle w:val="ListParagraph"/>
                        <w:numPr>
                          <w:ilvl w:val="0"/>
                          <w:numId w:val="4"/>
                        </w:numPr>
                        <w:spacing w:lineRule="auto" w:line="240" w:before="0" w:after="0"/>
                        <w:contextualSpacing/>
                        <w:rPr>
                          <w:rFonts w:ascii="Open Sans" w:hAnsi="Open Sans" w:eastAsia="Open Sans" w:cs="Open Sans"/>
                          <w:color w:val="000000"/>
                          <w:kern w:val="2"/>
                          <w:sz w:val="18"/>
                          <w:szCs w:val="18"/>
                        </w:rPr>
                      </w:pPr>
                      <w:r>
                        <w:rPr>
                          <w:rFonts w:eastAsia="Open Sans" w:cs="Open Sans" w:ascii="Open Sans" w:hAnsi="Open Sans"/>
                          <w:color w:val="000000"/>
                          <w:kern w:val="2"/>
                          <w:sz w:val="18"/>
                          <w:szCs w:val="18"/>
                          <w:lang w:val="el-GR"/>
                        </w:rPr>
                        <w:t>ΕΛΛΕΙΨΗ ΡΕΥΣΤΟΤΗΤΑΣ</w:t>
                      </w:r>
                    </w:p>
                    <w:p>
                      <w:pPr>
                        <w:pStyle w:val="ListParagraph"/>
                        <w:numPr>
                          <w:ilvl w:val="0"/>
                          <w:numId w:val="4"/>
                        </w:numPr>
                        <w:spacing w:lineRule="auto" w:line="240" w:before="0" w:after="0"/>
                        <w:contextualSpacing/>
                        <w:rPr/>
                      </w:pPr>
                      <w:r>
                        <w:rPr>
                          <w:rFonts w:eastAsia="Open Sans" w:cs="Open Sans" w:ascii="Open Sans" w:hAnsi="Open Sans"/>
                          <w:color w:val="000000"/>
                          <w:kern w:val="2"/>
                          <w:sz w:val="18"/>
                          <w:szCs w:val="18"/>
                          <w:lang w:val="el-GR"/>
                        </w:rPr>
                        <w:t>ΚΙΝΔΥΝΟΙ ΛΟΓΩ ΣΥΝΕΡΓΑΣΙΑΣ ΜΕ ΠΛΑΤΦΟΡΜΕΣ ΣΥΜΜΕΤΟΧΙΚΗΣ ΧΡΗΜΑΤΟΔΟΤΗΣ</w:t>
                      </w:r>
                    </w:p>
                  </w:txbxContent>
                </v:textbox>
              </v:shape>
            </w:pict>
          </mc:Fallback>
        </mc:AlternateContent>
      </w:r>
    </w:p>
    <w:p>
      <w:pPr>
        <w:pStyle w:val="Normal"/>
        <w:rPr>
          <w:rFonts w:ascii="Open Sans" w:hAnsi="Open Sans" w:eastAsia="Times New Roman" w:cs="Open Sans"/>
          <w:b/>
          <w:b/>
          <w:bCs/>
          <w:kern w:val="0"/>
          <w:lang w:val="el-GR" w:eastAsia="sl-SI"/>
          <w14:ligatures w14:val="none"/>
        </w:rPr>
      </w:pPr>
      <w:r>
        <w:rPr>
          <w:rFonts w:eastAsia="Times New Roman" w:cs="Open Sans" w:ascii="Open Sans" w:hAnsi="Open Sans"/>
          <w:b/>
          <w:bCs/>
          <w:kern w:val="0"/>
          <w:lang w:val="el-GR" w:eastAsia="sl-SI"/>
          <w14:ligatures w14:val="none"/>
        </w:rPr>
      </w:r>
    </w:p>
    <w:p>
      <w:pPr>
        <w:pStyle w:val="Normal"/>
        <w:jc w:val="center"/>
        <w:rPr>
          <w:rFonts w:ascii="Open Sans" w:hAnsi="Open Sans" w:eastAsia="Times New Roman" w:cs="Open Sans"/>
          <w:b/>
          <w:b/>
          <w:bCs/>
          <w:kern w:val="0"/>
          <w:lang w:val="el-GR" w:eastAsia="sl-SI"/>
          <w14:ligatures w14:val="none"/>
        </w:rPr>
      </w:pPr>
      <w:r>
        <w:rPr>
          <w:rFonts w:eastAsia="Times New Roman" w:cs="Open Sans" w:ascii="Open Sans" w:hAnsi="Open Sans"/>
          <w:b/>
          <w:bCs/>
          <w:kern w:val="0"/>
          <w:lang w:val="el-GR" w:eastAsia="sl-SI"/>
          <w14:ligatures w14:val="none"/>
        </w:rPr>
      </w:r>
    </w:p>
    <w:p>
      <w:pPr>
        <w:pStyle w:val="Normal"/>
        <w:spacing w:lineRule="auto" w:line="240" w:beforeAutospacing="1" w:afterAutospacing="1"/>
        <w:jc w:val="both"/>
        <w:rPr>
          <w:rFonts w:ascii="Open Sans" w:hAnsi="Open Sans" w:eastAsia="Times New Roman" w:cs="Open Sans"/>
          <w:b/>
          <w:b/>
          <w:bCs/>
          <w:kern w:val="0"/>
          <w:lang w:val="el-GR" w:eastAsia="sl-SI"/>
          <w14:ligatures w14:val="none"/>
        </w:rPr>
      </w:pPr>
      <w:r>
        <w:rPr>
          <w:rFonts w:eastAsia="Times New Roman" w:cs="Open Sans" w:ascii="Open Sans" w:hAnsi="Open Sans"/>
          <w:b/>
          <w:bCs/>
          <w:kern w:val="0"/>
          <w:lang w:val="el-GR" w:eastAsia="sl-SI"/>
          <w14:ligatures w14:val="none"/>
        </w:rPr>
      </w:r>
    </w:p>
    <w:p>
      <w:pPr>
        <w:pStyle w:val="Normal"/>
        <w:spacing w:lineRule="auto" w:line="240" w:beforeAutospacing="1" w:afterAutospacing="1"/>
        <w:jc w:val="both"/>
        <w:rPr>
          <w:rFonts w:ascii="Open Sans" w:hAnsi="Open Sans" w:eastAsia="Times New Roman" w:cs="Open Sans"/>
          <w:b/>
          <w:b/>
          <w:bCs/>
          <w:kern w:val="0"/>
          <w:lang w:val="el-GR" w:eastAsia="sl-SI"/>
          <w14:ligatures w14:val="none"/>
        </w:rPr>
      </w:pPr>
      <w:r>
        <w:rPr>
          <w:rFonts w:eastAsia="Times New Roman" w:cs="Open Sans" w:ascii="Open Sans" w:hAnsi="Open Sans"/>
          <w:b/>
          <w:bCs/>
          <w:kern w:val="0"/>
          <w:lang w:val="el-GR" w:eastAsia="sl-SI"/>
          <w14:ligatures w14:val="none"/>
        </w:rPr>
      </w:r>
    </w:p>
    <w:p>
      <w:pPr>
        <w:pStyle w:val="Normal"/>
        <w:spacing w:lineRule="auto" w:line="240" w:beforeAutospacing="1" w:afterAutospacing="1"/>
        <w:jc w:val="both"/>
        <w:rPr>
          <w:rFonts w:ascii="Open Sans" w:hAnsi="Open Sans" w:eastAsia="Times New Roman" w:cs="Open Sans"/>
          <w:b/>
          <w:b/>
          <w:bCs/>
          <w:kern w:val="0"/>
          <w:lang w:val="el-GR" w:eastAsia="sl-SI"/>
          <w14:ligatures w14:val="none"/>
        </w:rPr>
      </w:pPr>
      <w:r>
        <w:rPr>
          <w:rFonts w:eastAsia="Times New Roman" w:cs="Open Sans" w:ascii="Open Sans" w:hAnsi="Open Sans"/>
          <w:b/>
          <w:bCs/>
          <w:kern w:val="0"/>
          <w:lang w:val="el-GR" w:eastAsia="sl-SI"/>
          <w14:ligatures w14:val="none"/>
        </w:rPr>
      </w:r>
    </w:p>
    <w:p>
      <w:pPr>
        <w:pStyle w:val="Normal"/>
        <w:spacing w:lineRule="auto" w:line="240" w:beforeAutospacing="1" w:afterAutospacing="1"/>
        <w:jc w:val="both"/>
        <w:rPr>
          <w:rFonts w:ascii="Open Sans" w:hAnsi="Open Sans" w:eastAsia="Times New Roman" w:cs="Open Sans"/>
          <w:b/>
          <w:b/>
          <w:bCs/>
          <w:kern w:val="0"/>
          <w:lang w:val="el-GR" w:eastAsia="sl-SI"/>
          <w14:ligatures w14:val="none"/>
        </w:rPr>
      </w:pPr>
      <w:r>
        <w:rPr>
          <w:rFonts w:eastAsia="Times New Roman" w:cs="Open Sans" w:ascii="Open Sans" w:hAnsi="Open Sans"/>
          <w:b/>
          <w:bCs/>
          <w:kern w:val="0"/>
          <w:lang w:val="el-GR" w:eastAsia="sl-SI"/>
          <w14:ligatures w14:val="none"/>
        </w:rPr>
      </w:r>
    </w:p>
    <w:p>
      <w:pPr>
        <w:pStyle w:val="Normal"/>
        <w:spacing w:lineRule="auto" w:line="240" w:beforeAutospacing="1" w:afterAutospacing="1"/>
        <w:jc w:val="both"/>
        <w:rPr>
          <w:rFonts w:ascii="Open Sans" w:hAnsi="Open Sans" w:eastAsia="Times New Roman" w:cs="Open Sans"/>
          <w:b/>
          <w:b/>
          <w:bCs/>
          <w:kern w:val="0"/>
          <w:lang w:val="el-GR" w:eastAsia="sl-SI"/>
          <w14:ligatures w14:val="none"/>
        </w:rPr>
      </w:pPr>
      <w:r>
        <w:rPr>
          <w:rFonts w:eastAsia="Times New Roman" w:cs="Open Sans" w:ascii="Open Sans" w:hAnsi="Open Sans"/>
          <w:b/>
          <w:bCs/>
          <w:kern w:val="0"/>
          <w:lang w:val="el-GR" w:eastAsia="sl-SI"/>
          <w14:ligatures w14:val="none"/>
        </w:rPr>
      </w:r>
    </w:p>
    <w:p>
      <w:pPr>
        <w:pStyle w:val="Normal"/>
        <w:spacing w:lineRule="auto" w:line="240" w:beforeAutospacing="1" w:afterAutospacing="1"/>
        <w:jc w:val="both"/>
        <w:rPr>
          <w:rFonts w:ascii="Open Sans" w:hAnsi="Open Sans" w:eastAsia="Times New Roman" w:cs="Open Sans"/>
          <w:b/>
          <w:b/>
          <w:bCs/>
          <w:kern w:val="0"/>
          <w:lang w:val="el-GR" w:eastAsia="sl-SI"/>
          <w14:ligatures w14:val="none"/>
        </w:rPr>
      </w:pPr>
      <w:r>
        <w:rPr>
          <w:rFonts w:eastAsia="Times New Roman" w:cs="Open Sans" w:ascii="Open Sans" w:hAnsi="Open Sans"/>
          <w:b/>
          <w:bCs/>
          <w:kern w:val="0"/>
          <w:lang w:val="el-GR" w:eastAsia="sl-SI"/>
          <w14:ligatures w14:val="none"/>
        </w:rPr>
      </w:r>
    </w:p>
    <w:p>
      <w:pPr>
        <w:pStyle w:val="Normal"/>
        <w:spacing w:lineRule="auto" w:line="240" w:beforeAutospacing="1" w:afterAutospacing="1"/>
        <w:jc w:val="both"/>
        <w:rPr>
          <w:rFonts w:ascii="Open Sans" w:hAnsi="Open Sans" w:eastAsia="Times New Roman" w:cs="Open Sans"/>
          <w:b/>
          <w:b/>
          <w:bCs/>
          <w:kern w:val="0"/>
          <w:lang w:val="el-GR" w:eastAsia="sl-SI"/>
          <w14:ligatures w14:val="none"/>
        </w:rPr>
      </w:pPr>
      <w:r>
        <w:rPr>
          <w:rFonts w:eastAsia="Times New Roman" w:cs="Open Sans" w:ascii="Open Sans" w:hAnsi="Open Sans"/>
          <w:b/>
          <w:bCs/>
          <w:kern w:val="0"/>
          <w:lang w:val="el-GR" w:eastAsia="sl-SI"/>
          <w14:ligatures w14:val="none"/>
        </w:rPr>
        <w:t>ΠΙΘΑΝΑ ΟΦΕΛΗ</w:t>
      </w:r>
    </w:p>
    <w:p>
      <w:pPr>
        <w:pStyle w:val="Normal"/>
        <w:spacing w:lineRule="auto" w:line="240" w:beforeAutospacing="1" w:afterAutospacing="1"/>
        <w:jc w:val="both"/>
        <w:rPr>
          <w:rFonts w:ascii="Open Sans" w:hAnsi="Open Sans" w:eastAsia="Times New Roman" w:cs="Open Sans"/>
          <w:b/>
          <w:b/>
          <w:bCs/>
          <w:i/>
          <w:i/>
          <w:iCs/>
          <w:color w:val="00A984"/>
          <w:kern w:val="0"/>
          <w:lang w:val="el-GR" w:eastAsia="sl-SI"/>
          <w14:ligatures w14:val="none"/>
        </w:rPr>
      </w:pPr>
      <w:r>
        <w:rPr>
          <w:rFonts w:eastAsia="Times New Roman" w:cs="Open Sans" w:ascii="Open Sans" w:hAnsi="Open Sans"/>
          <w:b/>
          <w:bCs/>
          <w:i/>
          <w:iCs/>
          <w:color w:val="00A984"/>
          <w:kern w:val="0"/>
          <w:lang w:val="el-GR" w:eastAsia="sl-SI"/>
          <w14:ligatures w14:val="none"/>
        </w:rPr>
        <w:t>Μόχλευση</w:t>
      </w:r>
    </w:p>
    <w:p>
      <w:pPr>
        <w:pStyle w:val="Normal"/>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 xml:space="preserve">Ο συνδυασμός δημόσιας χρηματοδότησης και ιδιωτικού κεφαλαίου δημιουργεί μόχλευση. Από κυβερνητική σκοπιά, η μόχλευση αυξάνει τα διαθέσιμα κεφάλαια για ένα έργο. Αντί να περιορίζεται στα δημόσια κονδύλια, περισσότερα κεφάλαια μπορούν να διατεθούν για στήριξη έργων. </w:t>
      </w:r>
    </w:p>
    <w:p>
      <w:pPr>
        <w:pStyle w:val="Normal"/>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Αντίθετα, είναι επίσης πολύ πιο ελκυστικό για τους πολίτες να υποστηρίζουν μια πρωτοβουλία εάν γνωρίζουν ότι μια κυβέρνηση, π.χ., διπλασιάζει τη συνεισφορά τους. Ο συνδυασμός κεφαλαίων αυξάνει την επιτυχία όλων των μορφών συμμετοχικής χρηματοδότησης. Από τη μια πλευρά, οι πολίτες αισθάνονται ότι η συνεισφορά τους έχει μεγαλύτερο αντίκτυπο. Από την άλλη πλευρά, η δημόσια δέσμευση αυξάνει επίσης την εμπιστοσύνη των πολιτών στο συγκεκριμένο έργο.</w:t>
      </w:r>
    </w:p>
    <w:p>
      <w:pPr>
        <w:pStyle w:val="Normal"/>
        <w:spacing w:lineRule="auto" w:line="240" w:beforeAutospacing="1" w:afterAutospacing="1"/>
        <w:jc w:val="both"/>
        <w:rPr>
          <w:rFonts w:ascii="Open Sans" w:hAnsi="Open Sans" w:eastAsia="Times New Roman" w:cs="Open Sans"/>
          <w:b/>
          <w:b/>
          <w:bCs/>
          <w:i/>
          <w:i/>
          <w:iCs/>
          <w:color w:val="00A984"/>
          <w:kern w:val="0"/>
          <w:lang w:val="el-GR" w:eastAsia="sl-SI"/>
          <w14:ligatures w14:val="none"/>
        </w:rPr>
      </w:pPr>
      <w:r>
        <w:rPr>
          <w:rFonts w:eastAsia="Times New Roman" w:cs="Open Sans" w:ascii="Open Sans" w:hAnsi="Open Sans"/>
          <w:b/>
          <w:bCs/>
          <w:i/>
          <w:iCs/>
          <w:color w:val="00A984"/>
          <w:kern w:val="0"/>
          <w:lang w:val="el-GR" w:eastAsia="sl-SI"/>
          <w14:ligatures w14:val="none"/>
        </w:rPr>
        <w:t>Ισχυρότερος περιφερειακός αντίκτυπος μέσω της εμπλοκής των ενδιαφερόμενων φορέων</w:t>
      </w:r>
    </w:p>
    <w:p>
      <w:pPr>
        <w:pStyle w:val="Normal"/>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Ένα σημαντικό πλεονέκτημα του συνδυασμού της συμμετοχικής χρηματοδότησης με τη δημόσια χρηματοδότηση είναι ότι όχι μόνο η κυβέρνηση υποστηρίζει την πρωτοβουλία αλλά και άλλοι τοπικοί ενδιαφερόμενοι φορείς. Συγκεκριμένα, ένα έργο προσλαμβάνει πρεσβευτές που συνδέονται με την εκστρατεία χρηματοδότησης. Αυτοί οι πρεσβευτές μπορούν να βοηθήσουν στην οικοδόμηση και τη βιωσιμότητα του έργου.</w:t>
      </w:r>
    </w:p>
    <w:p>
      <w:pPr>
        <w:pStyle w:val="Normal"/>
        <w:spacing w:lineRule="auto" w:line="240" w:beforeAutospacing="1" w:afterAutospacing="1"/>
        <w:jc w:val="both"/>
        <w:rPr>
          <w:rFonts w:ascii="Open Sans" w:hAnsi="Open Sans" w:eastAsia="Times New Roman" w:cs="Open Sans"/>
          <w:b/>
          <w:b/>
          <w:bCs/>
          <w:i/>
          <w:i/>
          <w:iCs/>
          <w:color w:val="00A984"/>
          <w:kern w:val="0"/>
          <w:lang w:val="el-GR" w:eastAsia="sl-SI"/>
          <w14:ligatures w14:val="none"/>
        </w:rPr>
      </w:pPr>
      <w:r>
        <w:rPr>
          <w:rFonts w:eastAsia="Times New Roman" w:cs="Open Sans" w:ascii="Open Sans" w:hAnsi="Open Sans"/>
          <w:b/>
          <w:bCs/>
          <w:i/>
          <w:iCs/>
          <w:color w:val="00A984"/>
          <w:kern w:val="0"/>
          <w:lang w:val="el-GR" w:eastAsia="sl-SI"/>
          <w14:ligatures w14:val="none"/>
        </w:rPr>
        <w:t>Υποστήριξη έργων με κοινωνική προστιθέμενη αξία</w:t>
      </w:r>
    </w:p>
    <w:p>
      <w:pPr>
        <w:pStyle w:val="Normal"/>
        <w:spacing w:lineRule="auto" w:line="240" w:beforeAutospacing="1" w:afterAutospacing="1"/>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Η συμμετοχική χρηματοδότηση λειτουργεί ιδιαίτερα καλά για πρωτοβουλίες με σαφή κοινωνική προστιθέμενη αξία. Επομένως, ο συνδυασμός δημόσιας χρηματοδότησης και συμμετοχικής χρηματοδότησης θα λειτουργήσει καλύτερα όταν πρόκειται για τη χρηματοδότηση έργων με κοινωνική προστιθέμενη αξία.</w:t>
      </w:r>
    </w:p>
    <w:p>
      <w:pPr>
        <w:pStyle w:val="Normal"/>
        <w:spacing w:lineRule="auto" w:line="240" w:beforeAutospacing="1" w:afterAutospacing="1"/>
        <w:jc w:val="both"/>
        <w:rPr>
          <w:rFonts w:ascii="Open Sans" w:hAnsi="Open Sans" w:eastAsia="Times New Roman" w:cs="Open Sans"/>
          <w:b/>
          <w:b/>
          <w:bCs/>
          <w:i/>
          <w:i/>
          <w:iCs/>
          <w:color w:val="00A984"/>
          <w:kern w:val="0"/>
          <w:lang w:val="el-GR" w:eastAsia="sl-SI"/>
          <w14:ligatures w14:val="none"/>
        </w:rPr>
      </w:pPr>
      <w:r>
        <w:rPr>
          <w:rFonts w:eastAsia="Times New Roman" w:cs="Open Sans" w:ascii="Open Sans" w:hAnsi="Open Sans"/>
          <w:b/>
          <w:bCs/>
          <w:i/>
          <w:iCs/>
          <w:color w:val="00A984"/>
          <w:kern w:val="0"/>
          <w:lang w:val="el-GR" w:eastAsia="sl-SI"/>
          <w14:ligatures w14:val="none"/>
        </w:rPr>
        <w:t>Συμπληρωματικότητα</w:t>
      </w:r>
    </w:p>
    <w:p>
      <w:pPr>
        <w:pStyle w:val="Normal"/>
        <w:spacing w:lineRule="auto" w:line="240" w:beforeAutospacing="1" w:afterAutospacing="1"/>
        <w:jc w:val="both"/>
        <w:rPr>
          <w:rFonts w:ascii="Open Sans" w:hAnsi="Open Sans" w:eastAsia="Times New Roman" w:cs="Open Sans"/>
          <w:kern w:val="0"/>
          <w:lang w:val="el-GR" w:eastAsia="sl-SI"/>
          <w14:ligatures w14:val="none"/>
        </w:rPr>
      </w:pPr>
      <w:r>
        <w:rPr>
          <w:rFonts w:eastAsia="Times New Roman" w:cs="Open Sans" w:ascii="Open Sans" w:hAnsi="Open Sans"/>
          <w:kern w:val="0"/>
          <w:lang w:eastAsia="sl-SI"/>
          <w14:ligatures w14:val="none"/>
        </w:rPr>
        <w:t xml:space="preserve">Όταν χρησιμοποιούνται τόσο δημόσιοι πόροι όσο και </w:t>
      </w:r>
      <w:r>
        <w:rPr>
          <w:rFonts w:eastAsia="Times New Roman" w:cs="Open Sans" w:ascii="Open Sans" w:hAnsi="Open Sans"/>
          <w:kern w:val="0"/>
          <w:lang w:val="el-GR" w:eastAsia="sl-SI"/>
          <w14:ligatures w14:val="none"/>
        </w:rPr>
        <w:t>πόροι συμμετοχικής χρηματοδότησης</w:t>
      </w:r>
      <w:r>
        <w:rPr>
          <w:rFonts w:eastAsia="Times New Roman" w:cs="Open Sans" w:ascii="Open Sans" w:hAnsi="Open Sans"/>
          <w:kern w:val="0"/>
          <w:lang w:eastAsia="sl-SI"/>
          <w14:ligatures w14:val="none"/>
        </w:rPr>
        <w:t>, είναι σημαντικό να επικεντρωθεί η χρηματοδότηση σε έργα που δεν μπορούν (ή είναι δύσκολο) να χρηματοδοτηθούν από παραδοσιακές πηγές, όπως τραπεζικά δάνεια. Όπου είναι εφικτή, αυτή η μορφή χρηματοδότησης είναι συχνά πιο αποδοτική και οικονομική. Συνεπώς, η κυβέρνηση πρέπει να δρα συμπληρωματικά, εστιάζοντας σε έργα που διαφορετικά δεν θα λάμβαναν χρηματοδότηση – κάτι που ισχύει και για τ</w:t>
      </w:r>
      <w:r>
        <w:rPr>
          <w:rFonts w:eastAsia="Times New Roman" w:cs="Open Sans" w:ascii="Open Sans" w:hAnsi="Open Sans"/>
          <w:kern w:val="0"/>
          <w:lang w:val="el-GR" w:eastAsia="sl-SI"/>
          <w14:ligatures w14:val="none"/>
        </w:rPr>
        <w:t>η</w:t>
      </w:r>
      <w:r>
        <w:rPr>
          <w:rFonts w:eastAsia="Times New Roman" w:cs="Open Sans" w:ascii="Open Sans" w:hAnsi="Open Sans"/>
          <w:kern w:val="0"/>
          <w:lang w:eastAsia="sl-SI"/>
          <w14:ligatures w14:val="none"/>
        </w:rPr>
        <w:t xml:space="preserve"> </w:t>
      </w:r>
      <w:r>
        <w:rPr>
          <w:rFonts w:eastAsia="Times New Roman" w:cs="Open Sans" w:ascii="Open Sans" w:hAnsi="Open Sans"/>
          <w:kern w:val="0"/>
          <w:lang w:val="el-GR" w:eastAsia="sl-SI"/>
          <w14:ligatures w14:val="none"/>
        </w:rPr>
        <w:t>συμμετοχική χρηματοδότηση</w:t>
      </w:r>
      <w:r>
        <w:rPr>
          <w:rFonts w:eastAsia="Times New Roman" w:cs="Open Sans" w:ascii="Open Sans" w:hAnsi="Open Sans"/>
          <w:kern w:val="0"/>
          <w:lang w:eastAsia="sl-SI"/>
          <w14:ligatures w14:val="none"/>
        </w:rPr>
        <w:t>.</w:t>
      </w:r>
    </w:p>
    <w:p>
      <w:pPr>
        <w:pStyle w:val="Normal"/>
        <w:spacing w:lineRule="auto" w:line="240" w:beforeAutospacing="1" w:afterAutospacing="1"/>
        <w:jc w:val="both"/>
        <w:rPr>
          <w:rFonts w:ascii="Open Sans" w:hAnsi="Open Sans" w:eastAsia="Times New Roman" w:cs="Open Sans"/>
          <w:b/>
          <w:b/>
          <w:bCs/>
          <w:i/>
          <w:i/>
          <w:iCs/>
          <w:color w:val="00A984"/>
          <w:kern w:val="0"/>
          <w:lang w:val="el-GR" w:eastAsia="sl-SI"/>
          <w14:ligatures w14:val="none"/>
        </w:rPr>
      </w:pPr>
      <w:r>
        <w:rPr>
          <w:rFonts w:eastAsia="Times New Roman" w:cs="Open Sans" w:ascii="Open Sans" w:hAnsi="Open Sans"/>
          <w:b/>
          <w:bCs/>
          <w:i/>
          <w:iCs/>
          <w:color w:val="00A984"/>
          <w:kern w:val="0"/>
          <w:lang w:val="el-GR" w:eastAsia="sl-SI"/>
          <w14:ligatures w14:val="none"/>
        </w:rPr>
        <w:t>Θετικός αντίκτυπος στην καινοτομία</w:t>
      </w:r>
    </w:p>
    <w:p>
      <w:pPr>
        <w:pStyle w:val="Normal"/>
        <w:spacing w:lineRule="auto" w:line="240" w:beforeAutospacing="1" w:afterAutospacing="1"/>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Στη φάση ανάπτυξης προϊόντων και επικύρωσης της αγοράς, τα παραδοσιακά τραπεζικά δάνεια συχνά δεν είναι διαθέσιμα. Οι εταιρείες συχνά βασίζονται σε επιδοτήσεις για τη χρηματοδότηση της καινοτομίας, ακόμα και αν το επιχειρηματικό τους μοντέλο έχει προοπτικές κερδοφορίας. Η δημιουργία χρηματοδοτικών εργαλείων για καινοτόμα μοντέλα, όπως δάνεια, επιτρέπει περισσότερη καινοτομία. Η συμμετοχική χρηματοδότηση για την καινοτομία εφαρμόζεται συχνά με τη μορφή προπώλησης ή ανταμοιβών. Εάν ο συνδυασμός με τη δημόσια παρέμβαση επιτρέψει τη χρηματοδότηση της καινοτομίας μέσω οικονομικής συμμετοχικής χρηματοδότησης, δημιουργείται μια κατάσταση «</w:t>
      </w:r>
      <w:r>
        <w:rPr>
          <w:rFonts w:eastAsia="Times New Roman" w:cs="Open Sans" w:ascii="Open Sans" w:hAnsi="Open Sans"/>
          <w:kern w:val="0"/>
          <w:lang w:val="en-GB" w:eastAsia="sl-SI"/>
          <w14:ligatures w14:val="none"/>
        </w:rPr>
        <w:t>win</w:t>
      </w:r>
      <w:r>
        <w:rPr>
          <w:rFonts w:eastAsia="Times New Roman" w:cs="Open Sans" w:ascii="Open Sans" w:hAnsi="Open Sans"/>
          <w:kern w:val="0"/>
          <w:lang w:val="el-GR" w:eastAsia="sl-SI"/>
          <w14:ligatures w14:val="none"/>
        </w:rPr>
        <w:t>-</w:t>
      </w:r>
      <w:r>
        <w:rPr>
          <w:rFonts w:eastAsia="Times New Roman" w:cs="Open Sans" w:ascii="Open Sans" w:hAnsi="Open Sans"/>
          <w:kern w:val="0"/>
          <w:lang w:val="en-GB" w:eastAsia="sl-SI"/>
          <w14:ligatures w14:val="none"/>
        </w:rPr>
        <w:t>win</w:t>
      </w:r>
      <w:r>
        <w:rPr>
          <w:rFonts w:eastAsia="Times New Roman" w:cs="Open Sans" w:ascii="Open Sans" w:hAnsi="Open Sans"/>
          <w:kern w:val="0"/>
          <w:lang w:val="el-GR" w:eastAsia="sl-SI"/>
          <w14:ligatures w14:val="none"/>
        </w:rPr>
        <w:t>-</w:t>
      </w:r>
      <w:r>
        <w:rPr>
          <w:rFonts w:eastAsia="Times New Roman" w:cs="Open Sans" w:ascii="Open Sans" w:hAnsi="Open Sans"/>
          <w:kern w:val="0"/>
          <w:lang w:val="en-GB" w:eastAsia="sl-SI"/>
          <w14:ligatures w14:val="none"/>
        </w:rPr>
        <w:t>win</w:t>
      </w:r>
      <w:r>
        <w:rPr>
          <w:rFonts w:eastAsia="Times New Roman" w:cs="Open Sans" w:ascii="Open Sans" w:hAnsi="Open Sans"/>
          <w:kern w:val="0"/>
          <w:lang w:val="el-GR" w:eastAsia="sl-SI"/>
          <w14:ligatures w14:val="none"/>
        </w:rPr>
        <w:t>». Η κυβέρνηση δεν χρηματοδοτεί πλέον μόνη της την καινοτομία, ο επιχειρηματίας μπορεί να αντλήσει σημαντικά υψηλότερα ποσά και τόσο η κυβέρνηση όσο και οι πολίτες μπορούν να έχουν μερίδιο στα κέρδη αν η επιχείρηση επιτύχει, εν μέρει χάρη σε αυτήν τη στήριξη. Επιπλέον, η εμπλοκή των πολιτών επιτρέπει την άμεση δοκιμή και επικύρωση της υποστήριξης για τις προτεινόμενες καινοτομίες. Αυτό παρέχει στην κυβέρνηση καλύτερη εικόνα για το ποιες καινοτομίες έχουν τις περισσότερες πιθανότητες επιτυχίας, επιτρέποντάς της να επιλέγει πιο αποτελεσματικά ποιες να υποστηρίξει.</w:t>
      </w:r>
    </w:p>
    <w:p>
      <w:pPr>
        <w:pStyle w:val="Normal"/>
        <w:spacing w:lineRule="auto" w:line="240" w:beforeAutospacing="1" w:afterAutospacing="1"/>
        <w:jc w:val="both"/>
        <w:rPr>
          <w:rFonts w:ascii="Open Sans" w:hAnsi="Open Sans" w:eastAsia="Times New Roman" w:cs="Open Sans"/>
          <w:b/>
          <w:b/>
          <w:bCs/>
          <w:i/>
          <w:i/>
          <w:iCs/>
          <w:color w:val="00A984"/>
          <w:kern w:val="0"/>
          <w:lang w:val="el-GR" w:eastAsia="sl-SI"/>
          <w14:ligatures w14:val="none"/>
        </w:rPr>
      </w:pPr>
      <w:r>
        <w:rPr>
          <w:rFonts w:eastAsia="Times New Roman" w:cs="Open Sans" w:ascii="Open Sans" w:hAnsi="Open Sans"/>
          <w:b/>
          <w:bCs/>
          <w:i/>
          <w:iCs/>
          <w:color w:val="00A984"/>
          <w:kern w:val="0"/>
          <w:lang w:val="el-GR" w:eastAsia="sl-SI"/>
          <w14:ligatures w14:val="none"/>
        </w:rPr>
        <w:t>Αύξηση της αναγνωρισιμότητας των κυβερνητικών πολιτικών</w:t>
      </w:r>
    </w:p>
    <w:p>
      <w:pPr>
        <w:pStyle w:val="Normal"/>
        <w:spacing w:lineRule="auto" w:line="240" w:beforeAutospacing="1" w:afterAutospacing="1"/>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 xml:space="preserve">Ένα βασικό πλεονέκτημα του συνδυασμού δημόσιας χρηματοδότησης με τη συμμετοχική χρηματοδότηση είναι η αύξηση της αναγνωρισιμότητας των κυβερνητικών πρωτοβουλιών. Οι υποστηρικτές ενός έργου λαμβάνουν σαφές μήνυμα ότι η κυβέρνηση υποστηρίζει επίσης το αγαπημένο τους έργο. </w:t>
      </w:r>
    </w:p>
    <w:p>
      <w:pPr>
        <w:pStyle w:val="Normal"/>
        <w:spacing w:lineRule="auto" w:line="240" w:beforeAutospacing="1" w:afterAutospacing="1"/>
        <w:jc w:val="both"/>
        <w:rPr>
          <w:rFonts w:ascii="Open Sans" w:hAnsi="Open Sans" w:eastAsia="Times New Roman" w:cs="Open Sans"/>
          <w:b/>
          <w:b/>
          <w:bCs/>
          <w:i/>
          <w:i/>
          <w:iCs/>
          <w:color w:val="00A984"/>
          <w:kern w:val="0"/>
          <w:lang w:val="el-GR" w:eastAsia="sl-SI"/>
          <w14:ligatures w14:val="none"/>
        </w:rPr>
      </w:pPr>
      <w:r>
        <w:rPr>
          <w:rFonts w:eastAsia="Times New Roman" w:cs="Open Sans" w:ascii="Open Sans" w:hAnsi="Open Sans"/>
          <w:b/>
          <w:bCs/>
          <w:i/>
          <w:iCs/>
          <w:color w:val="00A984"/>
          <w:kern w:val="0"/>
          <w:lang w:val="el-GR" w:eastAsia="sl-SI"/>
          <w14:ligatures w14:val="none"/>
        </w:rPr>
        <w:t>Αύξηση της υποστήριξης προς τις δημόσιες πολιτικές</w:t>
      </w:r>
    </w:p>
    <w:p>
      <w:pPr>
        <w:pStyle w:val="Normal"/>
        <w:spacing w:lineRule="auto" w:line="240" w:beforeAutospacing="1" w:afterAutospacing="1"/>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Εάν η κυβέρνηση δώσει στους πολίτες τη δυνατότητα να έχουν λόγο στον καθορισμό των έργων που θα χρηματοδοτηθούν, αυτό δεν ενισχύει μόνο τη συμμετοχή τους αλλά συχνά έχει και θετικό αντίκτυπο στη στήριξη των δημόσιων πολιτικών. Ένα καλό παράδειγμα είναι οι προϋπολογισμοί πολιτών, όπου οι ίδιοι οι πολίτες συμμετέχουν στη λήψη αποφάσεων για τη διάθεση δημόσιων πόρων. Με αυτόν τον τρόπο, μπορεί επίσης να αντιμετωπιστεί η νοοτροπία «όχι στην αυλή μου» (</w:t>
      </w:r>
      <w:r>
        <w:rPr>
          <w:rFonts w:eastAsia="Times New Roman" w:cs="Open Sans" w:ascii="Open Sans" w:hAnsi="Open Sans"/>
          <w:kern w:val="0"/>
          <w:lang w:val="en-GB" w:eastAsia="sl-SI"/>
          <w14:ligatures w14:val="none"/>
        </w:rPr>
        <w:t>Not</w:t>
      </w:r>
      <w:r>
        <w:rPr>
          <w:rFonts w:eastAsia="Times New Roman" w:cs="Open Sans" w:ascii="Open Sans" w:hAnsi="Open Sans"/>
          <w:kern w:val="0"/>
          <w:lang w:val="el-GR" w:eastAsia="sl-SI"/>
          <w14:ligatures w14:val="none"/>
        </w:rPr>
        <w:t xml:space="preserve"> </w:t>
      </w:r>
      <w:r>
        <w:rPr>
          <w:rFonts w:eastAsia="Times New Roman" w:cs="Open Sans" w:ascii="Open Sans" w:hAnsi="Open Sans"/>
          <w:kern w:val="0"/>
          <w:lang w:val="en-GB" w:eastAsia="sl-SI"/>
          <w14:ligatures w14:val="none"/>
        </w:rPr>
        <w:t>In</w:t>
      </w:r>
      <w:r>
        <w:rPr>
          <w:rFonts w:eastAsia="Times New Roman" w:cs="Open Sans" w:ascii="Open Sans" w:hAnsi="Open Sans"/>
          <w:kern w:val="0"/>
          <w:lang w:val="el-GR" w:eastAsia="sl-SI"/>
          <w14:ligatures w14:val="none"/>
        </w:rPr>
        <w:t xml:space="preserve"> </w:t>
      </w:r>
      <w:r>
        <w:rPr>
          <w:rFonts w:eastAsia="Times New Roman" w:cs="Open Sans" w:ascii="Open Sans" w:hAnsi="Open Sans"/>
          <w:kern w:val="0"/>
          <w:lang w:val="en-GB" w:eastAsia="sl-SI"/>
          <w14:ligatures w14:val="none"/>
        </w:rPr>
        <w:t>My</w:t>
      </w:r>
      <w:r>
        <w:rPr>
          <w:rFonts w:eastAsia="Times New Roman" w:cs="Open Sans" w:ascii="Open Sans" w:hAnsi="Open Sans"/>
          <w:kern w:val="0"/>
          <w:lang w:val="el-GR" w:eastAsia="sl-SI"/>
          <w14:ligatures w14:val="none"/>
        </w:rPr>
        <w:t xml:space="preserve"> </w:t>
      </w:r>
      <w:r>
        <w:rPr>
          <w:rFonts w:eastAsia="Times New Roman" w:cs="Open Sans" w:ascii="Open Sans" w:hAnsi="Open Sans"/>
          <w:kern w:val="0"/>
          <w:lang w:val="en-GB" w:eastAsia="sl-SI"/>
          <w14:ligatures w14:val="none"/>
        </w:rPr>
        <w:t>Backyard</w:t>
      </w:r>
      <w:r>
        <w:rPr>
          <w:rFonts w:eastAsia="Times New Roman" w:cs="Open Sans" w:ascii="Open Sans" w:hAnsi="Open Sans"/>
          <w:kern w:val="0"/>
          <w:lang w:val="el-GR" w:eastAsia="sl-SI"/>
          <w14:ligatures w14:val="none"/>
        </w:rPr>
        <w:t xml:space="preserve"> – </w:t>
      </w:r>
      <w:r>
        <w:rPr>
          <w:rFonts w:eastAsia="Times New Roman" w:cs="Open Sans" w:ascii="Open Sans" w:hAnsi="Open Sans"/>
          <w:kern w:val="0"/>
          <w:lang w:val="en-GB" w:eastAsia="sl-SI"/>
          <w14:ligatures w14:val="none"/>
        </w:rPr>
        <w:t>NIMBY</w:t>
      </w:r>
      <w:r>
        <w:rPr>
          <w:rFonts w:eastAsia="Times New Roman" w:cs="Open Sans" w:ascii="Open Sans" w:hAnsi="Open Sans"/>
          <w:kern w:val="0"/>
          <w:lang w:val="el-GR" w:eastAsia="sl-SI"/>
          <w14:ligatures w14:val="none"/>
        </w:rPr>
        <w:t>), όπως, για παράδειγμα, στην περίπτωση της χρηματοδότησης αιολικών πάρκων από πολίτες.</w:t>
      </w:r>
    </w:p>
    <w:p>
      <w:pPr>
        <w:pStyle w:val="Normal"/>
        <w:spacing w:lineRule="auto" w:line="240" w:beforeAutospacing="1" w:afterAutospacing="1"/>
        <w:jc w:val="both"/>
        <w:rPr>
          <w:rFonts w:ascii="Open Sans" w:hAnsi="Open Sans" w:eastAsia="Times New Roman" w:cs="Open Sans"/>
          <w:b/>
          <w:b/>
          <w:bCs/>
          <w:i/>
          <w:i/>
          <w:iCs/>
          <w:color w:val="00A984"/>
          <w:kern w:val="0"/>
          <w:lang w:val="el-GR" w:eastAsia="sl-SI"/>
          <w14:ligatures w14:val="none"/>
        </w:rPr>
      </w:pPr>
      <w:r>
        <w:rPr>
          <w:rFonts w:eastAsia="Times New Roman" w:cs="Open Sans" w:ascii="Open Sans" w:hAnsi="Open Sans"/>
          <w:b/>
          <w:bCs/>
          <w:i/>
          <w:iCs/>
          <w:color w:val="00A984"/>
          <w:kern w:val="0"/>
          <w:lang w:val="el-GR" w:eastAsia="sl-SI"/>
          <w14:ligatures w14:val="none"/>
        </w:rPr>
        <w:t>Ενδυνάμωση των πολιτών</w:t>
      </w:r>
    </w:p>
    <w:p>
      <w:pPr>
        <w:pStyle w:val="Normal"/>
        <w:spacing w:lineRule="auto" w:line="240" w:beforeAutospacing="1" w:afterAutospacing="1"/>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 xml:space="preserve">Όταν οι πολίτες ενημερώνονται σωστά και συμμετέχουν σε ένα συνδυαστικό σχήμα χρηματοδότησης που περιλαμβάνει τόσο συμμετοχική χρηματοδότηση όσο και δημόσια χρηματοδότηση, αποκτούν καλύτερη κατανόηση του ρόλου των κοινωνικών επιχειρήσεων στην τοπική οικονομία και πώς μπορούν να συμβάλουν σε ένα βιώσιμο τοπικό οικοσύστημα. Επιπλέον, έχουν άμεση επιρροή στις επιλογές που γίνονται από την κυβέρνηση. </w:t>
      </w:r>
    </w:p>
    <w:p>
      <w:pPr>
        <w:pStyle w:val="Normal"/>
        <w:spacing w:lineRule="auto" w:line="240" w:beforeAutospacing="1" w:afterAutospacing="1"/>
        <w:jc w:val="both"/>
        <w:rPr>
          <w:rFonts w:ascii="Open Sans" w:hAnsi="Open Sans" w:eastAsia="Times New Roman" w:cs="Open Sans"/>
          <w:b/>
          <w:b/>
          <w:bCs/>
          <w:i/>
          <w:i/>
          <w:iCs/>
          <w:color w:val="00A984"/>
          <w:kern w:val="0"/>
          <w:lang w:val="el-GR" w:eastAsia="sl-SI"/>
          <w14:ligatures w14:val="none"/>
        </w:rPr>
      </w:pPr>
      <w:r>
        <w:rPr>
          <w:rFonts w:eastAsia="Times New Roman" w:cs="Open Sans" w:ascii="Open Sans" w:hAnsi="Open Sans"/>
          <w:b/>
          <w:bCs/>
          <w:i/>
          <w:iCs/>
          <w:color w:val="00A984"/>
          <w:kern w:val="0"/>
          <w:lang w:eastAsia="sl-SI"/>
          <w14:ligatures w14:val="none"/>
        </w:rPr>
        <w:t>Αύξηση της λογοδοσίας</w:t>
      </w:r>
    </w:p>
    <w:p>
      <w:pPr>
        <w:pStyle w:val="Normal"/>
        <w:spacing w:lineRule="auto" w:line="240" w:beforeAutospacing="1" w:afterAutospacing="1"/>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Η αλληλεπίδραση μεταξύ δημόσιων επενδύσεων και συμμετοχής των πολιτών δεν αυξάνει μόνο τη λογοδοσία της κυβέρνησης για τις επιλογές της, αλλά επίσης ενισχύει την πίεση προς τους αποδέκτες των χρηματοδοτήσεων ώστε να διαχειριστούν σωστά τα χρήματα που λαμβάνουν. Αυτό συμβαίνει επειδή μια ομάδα πλήθους που συμμετέχει στη συμμετοχική χρηματοδότηση μπορεί να λειτουργήσει ως μηχανισμός παρακολούθησης του έργου και του τρόπου διάθεσης των κεφαλαίων.</w:t>
      </w:r>
    </w:p>
    <w:p>
      <w:pPr>
        <w:pStyle w:val="Normal"/>
        <w:spacing w:lineRule="auto" w:line="240" w:beforeAutospacing="1" w:afterAutospacing="1"/>
        <w:jc w:val="both"/>
        <w:rPr>
          <w:rFonts w:ascii="Open Sans" w:hAnsi="Open Sans" w:eastAsia="Times New Roman" w:cs="Open Sans"/>
          <w:b/>
          <w:b/>
          <w:bCs/>
          <w:kern w:val="0"/>
          <w:lang w:val="el-GR" w:eastAsia="sl-SI"/>
          <w14:ligatures w14:val="none"/>
        </w:rPr>
      </w:pPr>
      <w:r>
        <w:rPr>
          <w:rFonts w:eastAsia="Times New Roman" w:cs="Open Sans" w:ascii="Open Sans" w:hAnsi="Open Sans"/>
          <w:b/>
          <w:bCs/>
          <w:kern w:val="0"/>
          <w:lang w:eastAsia="sl-SI"/>
          <w14:ligatures w14:val="none"/>
        </w:rPr>
        <w:t>ΠΙΘΑΝΟΙ ΚΙΝΔΥΝΟΙ</w:t>
      </w:r>
    </w:p>
    <w:p>
      <w:pPr>
        <w:pStyle w:val="Normal"/>
        <w:spacing w:lineRule="auto" w:line="240" w:beforeAutospacing="1" w:afterAutospacing="1"/>
        <w:jc w:val="both"/>
        <w:rPr>
          <w:rFonts w:ascii="Open Sans" w:hAnsi="Open Sans" w:eastAsia="Times New Roman" w:cs="Open Sans"/>
          <w:kern w:val="0"/>
          <w:lang w:val="el-GR" w:eastAsia="sl-SI"/>
          <w14:ligatures w14:val="none"/>
        </w:rPr>
      </w:pPr>
      <w:r>
        <w:rPr>
          <w:rFonts w:eastAsia="Times New Roman" w:cs="Open Sans" w:ascii="Open Sans" w:hAnsi="Open Sans"/>
          <w:kern w:val="0"/>
          <w:lang w:eastAsia="sl-SI"/>
          <w14:ligatures w14:val="none"/>
        </w:rPr>
        <w:t>Υπάρχουν επίσης ορισμένοι άλλοι ειδικοί κίνδυνοι που πρέπει να ληφθούν υπόψη όταν συνεργάζεται κανείς με το πλήθος.</w:t>
      </w:r>
    </w:p>
    <w:p>
      <w:pPr>
        <w:pStyle w:val="Normal"/>
        <w:spacing w:lineRule="auto" w:line="240" w:beforeAutospacing="1" w:afterAutospacing="1"/>
        <w:jc w:val="both"/>
        <w:rPr>
          <w:rFonts w:ascii="Open Sans" w:hAnsi="Open Sans" w:eastAsia="Times New Roman" w:cs="Open Sans"/>
          <w:b/>
          <w:b/>
          <w:bCs/>
          <w:i/>
          <w:i/>
          <w:iCs/>
          <w:color w:val="00A984"/>
          <w:kern w:val="0"/>
          <w:lang w:val="el-GR" w:eastAsia="sl-SI"/>
          <w14:ligatures w14:val="none"/>
        </w:rPr>
      </w:pPr>
      <w:r>
        <w:rPr>
          <w:rFonts w:eastAsia="Times New Roman" w:cs="Open Sans" w:ascii="Open Sans" w:hAnsi="Open Sans"/>
          <w:b/>
          <w:bCs/>
          <w:i/>
          <w:iCs/>
          <w:color w:val="00A984"/>
          <w:kern w:val="0"/>
          <w:lang w:val="el-GR" w:eastAsia="sl-SI"/>
          <w14:ligatures w14:val="none"/>
        </w:rPr>
        <w:t>Πιθανή ζημία στη φήμη της δημόσιας αρχής λόγω αποτυχίας του έργου</w:t>
      </w:r>
    </w:p>
    <w:p>
      <w:pPr>
        <w:pStyle w:val="Normal"/>
        <w:spacing w:lineRule="auto" w:line="240" w:beforeAutospacing="1" w:afterAutospacing="1"/>
        <w:jc w:val="both"/>
        <w:rPr>
          <w:rFonts w:ascii="Open Sans" w:hAnsi="Open Sans" w:eastAsia="Times New Roman" w:cs="Open Sans"/>
          <w:kern w:val="0"/>
          <w:lang w:val="el-GR" w:eastAsia="sl-SI"/>
          <w14:ligatures w14:val="none"/>
        </w:rPr>
      </w:pPr>
      <w:r>
        <w:rPr>
          <w:rFonts w:eastAsia="Times New Roman" w:cs="Open Sans" w:ascii="Open Sans" w:hAnsi="Open Sans"/>
          <w:kern w:val="0"/>
          <w:lang w:eastAsia="sl-SI"/>
          <w14:ligatures w14:val="none"/>
        </w:rPr>
        <w:t>Όπως προαναφέρθηκε, η κυβερνητική υποστήριξη ενός έργου συχνά εκλαμβάνεται ως έγκριση της βιωσιμότητάς του. Σε περίπτωση αποτυχίας, αυτό μπορεί να πλήξει τη φήμη της κυβέρνησης. Συνεπώς, είναι σημαντικό οι κίνδυνοι να επικοινωνούνται με διαφάνεια, να περιορίζονται όσο το δυνατόν περισσότερο και να ελαχιστοποιείται η πιθανότητα οικονομικής απώλειας για τους πολίτες. Η επαρκής υποστήριξη και η συνεχής παρακολούθηση των χρηματοδοτούμενων έργων μπορούν να μειώσουν τον κίνδυνο αποτυχίας. Αν και αυτή η στήριξη μπορεί να είναι σχετικά δαπανηρή σε σχέση με τον συνολικό προϋπολογισμό, μπορεί να κάνει σημαντική διαφορά στον τελικό αντίκτυπο. Επομένως, είναι λογικό για μια κυβέρνηση να επενδύσει επαρκώς σε αυτόν τον τομέα.</w:t>
      </w:r>
    </w:p>
    <w:p>
      <w:pPr>
        <w:pStyle w:val="Normal"/>
        <w:spacing w:lineRule="auto" w:line="240" w:beforeAutospacing="1" w:afterAutospacing="1"/>
        <w:jc w:val="both"/>
        <w:rPr>
          <w:rFonts w:ascii="Open Sans" w:hAnsi="Open Sans" w:eastAsia="Times New Roman" w:cs="Open Sans"/>
          <w:b/>
          <w:b/>
          <w:bCs/>
          <w:i/>
          <w:i/>
          <w:iCs/>
          <w:color w:val="00A984"/>
          <w:kern w:val="0"/>
          <w:lang w:val="el-GR" w:eastAsia="sl-SI"/>
          <w14:ligatures w14:val="none"/>
        </w:rPr>
      </w:pPr>
      <w:r>
        <w:rPr>
          <w:rFonts w:eastAsia="Times New Roman" w:cs="Open Sans" w:ascii="Open Sans" w:hAnsi="Open Sans"/>
          <w:b/>
          <w:bCs/>
          <w:i/>
          <w:iCs/>
          <w:color w:val="00A984"/>
          <w:kern w:val="0"/>
          <w:lang w:eastAsia="sl-SI"/>
          <w14:ligatures w14:val="none"/>
        </w:rPr>
        <w:t>Κατανομή της εξουσίας λήψης αποφάσεων</w:t>
      </w:r>
    </w:p>
    <w:p>
      <w:pPr>
        <w:pStyle w:val="Normal"/>
        <w:spacing w:lineRule="auto" w:line="240" w:beforeAutospacing="1" w:afterAutospacing="1"/>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Ο συνδυασμός συμμετοχικής χρηματοδότησης και δημόσιας χρηματοδότησης συχνά σημαίνει ότι η εξουσία λήψης αποφάσεων κατανέμεται μεταξύ της κυβέρνησης και των πολιτών. Οι πολίτες όχι μόνο επιλέγουν πού θα διαθέσουν τα χρήματά τους, αλλά σε πολλές περιπτώσεις, η συμβολή της κυβέρνησης εξαρτάται από την επιτυχία μιας καμπάνιας συμμετοχικής χρηματοδότησης. Σε αυτήν την περίπτωση, οι πολίτες αποκτούν έναν έμμεσο ρόλο στη διαχείριση των δημόσιων οικονομικών. Αυτό μπορεί να έχει πλεονεκτήματα, όπως η ενδυνάμωση των πολιτών και η ενίσχυση της υποστήριξης προς τις δημόσιες πολιτικές. Ωστόσο, μπορεί επίσης να έχει το μειονέκτημα ότι η κυβέρνηση παραχωρεί μέρος της εξουσίας της στη λήψη αποφάσεων. Είναι σημαντικό να εξεταστεί προσεκτικά ποιες αποφάσεις επιθυμεί να διατηρήσει η κυβέρνηση και ποιες μπορεί να συν-διαμορφωθούν από τους πολίτες.</w:t>
      </w:r>
    </w:p>
    <w:p>
      <w:pPr>
        <w:pStyle w:val="Normal"/>
        <w:spacing w:lineRule="auto" w:line="240" w:beforeAutospacing="1" w:afterAutospacing="1"/>
        <w:jc w:val="both"/>
        <w:rPr>
          <w:rFonts w:ascii="Open Sans" w:hAnsi="Open Sans" w:eastAsia="Times New Roman" w:cs="Open Sans"/>
          <w:b/>
          <w:b/>
          <w:bCs/>
          <w:i/>
          <w:i/>
          <w:iCs/>
          <w:color w:val="00A984"/>
          <w:kern w:val="0"/>
          <w:lang w:val="el-GR" w:eastAsia="sl-SI"/>
          <w14:ligatures w14:val="none"/>
        </w:rPr>
      </w:pPr>
      <w:r>
        <w:rPr>
          <w:rFonts w:eastAsia="Times New Roman" w:cs="Open Sans" w:ascii="Open Sans" w:hAnsi="Open Sans"/>
          <w:b/>
          <w:bCs/>
          <w:i/>
          <w:iCs/>
          <w:color w:val="00A984"/>
          <w:kern w:val="0"/>
          <w:lang w:val="el-GR" w:eastAsia="sl-SI"/>
          <w14:ligatures w14:val="none"/>
        </w:rPr>
        <w:t>Εξάρτηση από τις δυναμικές της αγοράς</w:t>
      </w:r>
    </w:p>
    <w:p>
      <w:pPr>
        <w:pStyle w:val="Normal"/>
        <w:spacing w:lineRule="auto" w:line="240" w:beforeAutospacing="1" w:afterAutospacing="1"/>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 xml:space="preserve">Όπως αναφέρθηκε στο προηγούμενο σημείο, η επένδυση σε δημόσια χρηματοδότηση, η οποία εξαρτάται από τα συγκεντρωμένα κεφάλαια μέσω συμμετοχικής χρηματοδότησης, μπορεί να παρουσιάσει ορισμένα μειονεκτήματα. Για παράδειγμα, η επιτυχία της συμμετοχικής χρηματοδότησης εξαρτάται από τους οικονομικούς πόρους των επενδυτών, τη χρήση μιας διαδικτυακής πλατφόρμας και το επίπεδο ψηφιακών δεξιοτήτων του πληθυσμού. Έτσι, υπάρχει ο κίνδυνος να υποστηριχθούν κυρίως έργα που θεωρούν σημαντικά οι οικονομικά ευκατάστατοι και ψηφιακά εγγράμματοι πολίτες, δημιουργώντας έτσι ένα φαινόμενο </w:t>
      </w:r>
      <w:r>
        <w:rPr>
          <w:rFonts w:eastAsia="Times New Roman" w:cs="Open Sans" w:ascii="Open Sans" w:hAnsi="Open Sans"/>
          <w:kern w:val="0"/>
          <w:lang w:val="en-GB" w:eastAsia="sl-SI"/>
          <w14:ligatures w14:val="none"/>
        </w:rPr>
        <w:t>Matthew</w:t>
      </w:r>
      <w:r>
        <w:rPr>
          <w:rFonts w:eastAsia="Times New Roman" w:cs="Open Sans" w:ascii="Open Sans" w:hAnsi="Open Sans"/>
          <w:kern w:val="0"/>
          <w:lang w:val="el-GR" w:eastAsia="sl-SI"/>
          <w14:ligatures w14:val="none"/>
        </w:rPr>
        <w:t>. Σε άλλες περιπτώσεις, το μέγεθος του κοινού-στόχου ή η δημοτικότητα ενός συγκεκριμένου θέματος ή προϊόντος μπορεί επίσης να επηρεάσει σημαντικά την επιτυχία μιας καμπάνιας συμμετοχικής χρηματοδότησης. Η κυβέρνηση πρέπει να διασφαλίσει ότι η κατανομή των κονδυλίων ευθυγραμμίζεται με τις πολιτικές αποφάσεις της. Αυτό θα πρέπει να διασφαλιστεί μέσω του κατάλληλου σχεδιασμού του εργαλείου.</w:t>
      </w:r>
    </w:p>
    <w:p>
      <w:pPr>
        <w:pStyle w:val="Normal"/>
        <w:spacing w:lineRule="auto" w:line="240" w:beforeAutospacing="1" w:afterAutospacing="1"/>
        <w:jc w:val="both"/>
        <w:rPr>
          <w:rFonts w:ascii="Open Sans" w:hAnsi="Open Sans" w:eastAsia="Times New Roman" w:cs="Open Sans"/>
          <w:b/>
          <w:b/>
          <w:bCs/>
          <w:i/>
          <w:i/>
          <w:iCs/>
          <w:color w:val="00A984"/>
          <w:kern w:val="0"/>
          <w:lang w:val="el-GR" w:eastAsia="sl-SI"/>
          <w14:ligatures w14:val="none"/>
        </w:rPr>
      </w:pPr>
      <w:r>
        <w:rPr>
          <w:rFonts w:eastAsia="Times New Roman" w:cs="Open Sans" w:ascii="Open Sans" w:hAnsi="Open Sans"/>
          <w:b/>
          <w:bCs/>
          <w:i/>
          <w:iCs/>
          <w:color w:val="00A984"/>
          <w:kern w:val="0"/>
          <w:lang w:val="el-GR" w:eastAsia="sl-SI"/>
          <w14:ligatures w14:val="none"/>
        </w:rPr>
      </w:r>
    </w:p>
    <w:p>
      <w:pPr>
        <w:pStyle w:val="Normal"/>
        <w:spacing w:lineRule="auto" w:line="240" w:beforeAutospacing="1" w:afterAutospacing="1"/>
        <w:jc w:val="both"/>
        <w:rPr>
          <w:rFonts w:ascii="Open Sans" w:hAnsi="Open Sans" w:eastAsia="Times New Roman" w:cs="Open Sans"/>
          <w:b/>
          <w:b/>
          <w:bCs/>
          <w:i/>
          <w:i/>
          <w:iCs/>
          <w:color w:val="00A984"/>
          <w:kern w:val="0"/>
          <w:lang w:val="el-GR" w:eastAsia="sl-SI"/>
          <w14:ligatures w14:val="none"/>
        </w:rPr>
      </w:pPr>
      <w:r>
        <w:rPr>
          <w:rFonts w:eastAsia="Times New Roman" w:cs="Open Sans" w:ascii="Open Sans" w:hAnsi="Open Sans"/>
          <w:b/>
          <w:bCs/>
          <w:i/>
          <w:iCs/>
          <w:color w:val="00A984"/>
          <w:kern w:val="0"/>
          <w:lang w:val="el-GR" w:eastAsia="sl-SI"/>
          <w14:ligatures w14:val="none"/>
        </w:rPr>
        <w:t>Έλλειψη ρευστότητας</w:t>
      </w:r>
    </w:p>
    <w:p>
      <w:pPr>
        <w:pStyle w:val="Normal"/>
        <w:spacing w:lineRule="auto" w:line="240" w:beforeAutospacing="1" w:afterAutospacing="1"/>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Η έλλειψη ρευστότητας δεν είναι χαρακτηριστικό που αφορά αποκλειστικά το συνδυασμό κεφαλαίων των πολιτών και δημόσιας χρηματοδότησης, αλλά αποτελεί σημαντικό ζήτημα στην περίπτωση χρήσης συμμετοχικής χρηματοδότησης με μετοχικό κεφάλαιο (equity-based crowdfunding)</w:t>
      </w:r>
      <w:r>
        <w:rPr>
          <w:rStyle w:val="Style14"/>
          <w:rFonts w:eastAsia="Times New Roman" w:cs="Open Sans" w:ascii="Open Sans" w:hAnsi="Open Sans"/>
          <w:kern w:val="0"/>
          <w:vertAlign w:val="superscript"/>
          <w:lang w:val="en-GB" w:eastAsia="sl-SI"/>
          <w14:ligatures w14:val="none"/>
        </w:rPr>
        <w:footnoteReference w:id="2"/>
      </w:r>
      <w:r>
        <w:rPr>
          <w:rFonts w:eastAsia="Times New Roman" w:cs="Open Sans" w:ascii="Open Sans" w:hAnsi="Open Sans"/>
          <w:kern w:val="0"/>
          <w:lang w:val="el-GR" w:eastAsia="sl-SI"/>
          <w14:ligatures w14:val="none"/>
        </w:rPr>
        <w:t>. Σε αυτή την περίπτωση, ο επενδυτής αγοράζει μερίδιο σε μια εταιρεία που δεν είναι εισηγμένη σε χρηματιστήριο ή άλλη αγορά. Εξαρτάται, λοιπόν, από το ενδιαφέρον νέων επενδυτών για να αγοράσουν αυτές τις μετοχές ή από την ικανότητα της εταιρείας να επαναγοράσει τις μετοχές, ώστε να ανακτήσει την επένδυσή του. Στην περίπτωση δανείων, συνήθως συμφωνείται μια σταθερή διάρκεια και δεν υπάρχει δυνατότητα ρευστοποίησης του δανείου στο ενδιάμεσο διάστημα. Ωστόσο, το κράτος, ως συχνά ο μεγαλύτερος χρηματοδότης που συμμετέχει, μπορεί να προσφέρει ρευστότητα αναλαμβάνοντας τη χρηματοδότηση από τους πολίτες υπό ορισμένες προϋποθέσεις. Μάλιστα, σε ένα μοντέλο που συνδυάζει συμμετοχική και δημόσια χρηματοδότηση, μπορεί να είναι λογικό να διατηρείται ένα μέρος των δημόσιων πόρων διαθέσιμο για να εξαγοράζει επενδύσεις από πολίτες που επιθυμούν να αποχωρήσουν.</w:t>
      </w:r>
    </w:p>
    <w:p>
      <w:pPr>
        <w:pStyle w:val="Normal"/>
        <w:spacing w:lineRule="auto" w:line="240" w:beforeAutospacing="1" w:afterAutospacing="1"/>
        <w:jc w:val="both"/>
        <w:rPr>
          <w:rFonts w:ascii="Open Sans" w:hAnsi="Open Sans" w:eastAsia="Times New Roman" w:cs="Open Sans"/>
          <w:b/>
          <w:b/>
          <w:bCs/>
          <w:i/>
          <w:i/>
          <w:iCs/>
          <w:color w:val="00A984"/>
          <w:kern w:val="0"/>
          <w:lang w:val="el-GR" w:eastAsia="sl-SI"/>
          <w14:ligatures w14:val="none"/>
        </w:rPr>
      </w:pPr>
      <w:r>
        <w:rPr>
          <w:rFonts w:eastAsia="Times New Roman" w:cs="Open Sans" w:ascii="Open Sans" w:hAnsi="Open Sans"/>
          <w:b/>
          <w:bCs/>
          <w:i/>
          <w:iCs/>
          <w:color w:val="00A984"/>
          <w:kern w:val="0"/>
          <w:lang w:val="el-GR" w:eastAsia="sl-SI"/>
          <w14:ligatures w14:val="none"/>
        </w:rPr>
        <w:t>Οι διαδικασίες αξιολόγησης από τις πλατφόρμες συμμετοχικής χρηματοδότησης δεν είναι τυποποιημένες</w:t>
      </w:r>
    </w:p>
    <w:p>
      <w:pPr>
        <w:pStyle w:val="Normal"/>
        <w:spacing w:lineRule="auto" w:line="240" w:beforeAutospacing="1" w:afterAutospacing="1"/>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Εάν μια κυβέρνηση επιθυμεί να συνεργαστεί με διαφορετικές πλατφόρμες συμμετοχικής χρηματοδότησης, η προσέγγιση των διαφόρων φορέων πρέπει να ευθυγραμμίζεται με τις προτεραιότητες της κυβερνητικής πολιτικής. Το κράτος οφείλει να λαμβάνει συνειδητές αποφάσεις σχετικά με τη διαδικασία αξιολόγησης και τα κριτήρια που θα χρησιμοποιηθούν, ώστε να διασφαλίζεται ότι όλα τα υποστηριζόμενα έργα πληρούν τις προσδοκίες της κυβέρνησης. Θα πρέπει επίσης να καθοριστούν σαφείς συμφωνίες για τα αποτελέσματα που πρέπει να αναφέρονται ανά έργο, προκειμένου η κυβέρνηση να μπορεί να παρακολουθεί τον αντίκτυπο που επιτυγχάνεται.</w:t>
      </w:r>
    </w:p>
    <w:p>
      <w:pPr>
        <w:pStyle w:val="Normal"/>
        <w:spacing w:lineRule="auto" w:line="240" w:beforeAutospacing="1" w:afterAutospacing="1"/>
        <w:jc w:val="both"/>
        <w:rPr>
          <w:rFonts w:ascii="Open Sans" w:hAnsi="Open Sans" w:eastAsia="Times New Roman" w:cs="Open Sans"/>
          <w:b/>
          <w:b/>
          <w:bCs/>
          <w:kern w:val="0"/>
          <w:lang w:val="el-GR" w:eastAsia="sl-SI"/>
          <w14:ligatures w14:val="none"/>
        </w:rPr>
      </w:pPr>
      <w:r>
        <w:rPr>
          <w:rFonts w:eastAsia="Times New Roman" w:cs="Open Sans" w:ascii="Open Sans" w:hAnsi="Open Sans"/>
          <w:b/>
          <w:bCs/>
          <w:kern w:val="0"/>
          <w:lang w:val="el-GR" w:eastAsia="sl-SI"/>
          <w14:ligatures w14:val="none"/>
        </w:rPr>
      </w:r>
    </w:p>
    <w:p>
      <w:pPr>
        <w:pStyle w:val="Normal"/>
        <w:spacing w:lineRule="auto" w:line="240" w:beforeAutospacing="1" w:afterAutospacing="1"/>
        <w:jc w:val="both"/>
        <w:rPr>
          <w:rFonts w:ascii="Open Sans" w:hAnsi="Open Sans" w:eastAsia="Times New Roman" w:cs="Open Sans"/>
          <w:b/>
          <w:b/>
          <w:bCs/>
          <w:kern w:val="0"/>
          <w:lang w:val="el-GR" w:eastAsia="sl-SI"/>
          <w14:ligatures w14:val="none"/>
        </w:rPr>
      </w:pPr>
      <w:r>
        <w:rPr>
          <w:rFonts w:eastAsia="Times New Roman" w:cs="Open Sans" w:ascii="Open Sans" w:hAnsi="Open Sans"/>
          <w:b/>
          <w:bCs/>
          <w:kern w:val="0"/>
          <w:lang w:val="el-GR" w:eastAsia="sl-SI"/>
          <w14:ligatures w14:val="none"/>
        </w:rPr>
      </w:r>
    </w:p>
    <w:p>
      <w:pPr>
        <w:pStyle w:val="Normal"/>
        <w:spacing w:lineRule="auto" w:line="240" w:beforeAutospacing="1" w:afterAutospacing="1"/>
        <w:jc w:val="both"/>
        <w:rPr>
          <w:rFonts w:ascii="Open Sans" w:hAnsi="Open Sans" w:eastAsia="Times New Roman" w:cs="Open Sans"/>
          <w:b/>
          <w:b/>
          <w:bCs/>
          <w:kern w:val="0"/>
          <w:lang w:val="el-GR" w:eastAsia="sl-SI"/>
          <w14:ligatures w14:val="none"/>
        </w:rPr>
      </w:pPr>
      <w:r>
        <w:rPr>
          <w:rFonts w:eastAsia="Times New Roman" w:cs="Open Sans" w:ascii="Open Sans" w:hAnsi="Open Sans"/>
          <w:b/>
          <w:bCs/>
          <w:kern w:val="0"/>
          <w:lang w:val="el-GR" w:eastAsia="sl-SI"/>
          <w14:ligatures w14:val="none"/>
        </w:rPr>
        <w:t>ΒΑΣΙΚΑ ΒΗΜΑΤΑ ΣΤΟ ΣΧΕΔΙΑΣΜΟ ΚΑΙ ΤΗΝ ΕΝΑΡΞΗ ΕΝΟΣ ΠΡΟΓΡΑΜΜΑΤΟΣ ΣΥΝΔΥΑΣΤΙΚΗΣ ΧΡΗΜΑΤΟΔΟΤΗΣΗΣ (</w:t>
      </w:r>
      <w:r>
        <w:rPr>
          <w:rFonts w:eastAsia="Times New Roman" w:cs="Open Sans" w:ascii="Open Sans" w:hAnsi="Open Sans"/>
          <w:b/>
          <w:bCs/>
          <w:kern w:val="0"/>
          <w:lang w:val="en-US" w:eastAsia="sl-SI"/>
          <w14:ligatures w14:val="none"/>
        </w:rPr>
        <w:t>FUND</w:t>
      </w:r>
      <w:r>
        <w:rPr>
          <w:rFonts w:eastAsia="Times New Roman" w:cs="Open Sans" w:ascii="Open Sans" w:hAnsi="Open Sans"/>
          <w:b/>
          <w:bCs/>
          <w:kern w:val="0"/>
          <w:lang w:val="el-GR" w:eastAsia="sl-SI"/>
          <w14:ligatures w14:val="none"/>
        </w:rPr>
        <w:t>-</w:t>
      </w:r>
      <w:r>
        <w:rPr>
          <w:rFonts w:eastAsia="Times New Roman" w:cs="Open Sans" w:ascii="Open Sans" w:hAnsi="Open Sans"/>
          <w:b/>
          <w:bCs/>
          <w:kern w:val="0"/>
          <w:lang w:val="en-US" w:eastAsia="sl-SI"/>
          <w14:ligatures w14:val="none"/>
        </w:rPr>
        <w:t>MATCHING</w:t>
      </w:r>
      <w:r>
        <w:rPr>
          <w:rFonts w:eastAsia="Times New Roman" w:cs="Open Sans" w:ascii="Open Sans" w:hAnsi="Open Sans"/>
          <w:b/>
          <w:bCs/>
          <w:kern w:val="0"/>
          <w:lang w:val="el-GR" w:eastAsia="sl-SI"/>
          <w14:ligatures w14:val="none"/>
        </w:rPr>
        <w:t>)</w:t>
      </w:r>
    </w:p>
    <w:p>
      <w:pPr>
        <w:pStyle w:val="Normal"/>
        <w:spacing w:lineRule="auto" w:line="240" w:beforeAutospacing="1" w:afterAutospacing="1"/>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Ο σχεδιασμός ενός προγράμματος συνδυαστικής χρηματοδότησης περιλαμβάνει διάφορα δομημένα βήματα, ξεκινώντας από τις πολιτικές παραμέτρους και προχωρώντας στην ανάπτυξη και την υλοποίηση. Οι υπεύθυνοι χάραξης πολιτικής πρέπει να αξιολογήσουν τα υφιστάμενα χρηματοδοτικά εργαλεία, ώστε να εντοπίσουν πού μπορεί να ενσωματωθεί η συνδυαστική χρηματοδότηση. Ο στόχος είναι να διευκολυνθεί η υποστήριξη των επιχειρήσεων και της επιχειρηματικότητας, διασφαλίζοντας παράλληλα ότι η πρωτοβουλία συμπληρώνει το υπάρχον χρηματοδοτικό τοπίο.</w:t>
      </w:r>
    </w:p>
    <w:p>
      <w:pPr>
        <w:pStyle w:val="Normal"/>
        <w:spacing w:lineRule="auto" w:line="240" w:beforeAutospacing="1" w:afterAutospacing="1"/>
        <w:jc w:val="both"/>
        <w:rPr>
          <w:rFonts w:ascii="Open Sans" w:hAnsi="Open Sans" w:eastAsia="Times New Roman" w:cs="Open Sans"/>
          <w:b/>
          <w:b/>
          <w:bCs/>
          <w:i/>
          <w:i/>
          <w:iCs/>
          <w:color w:val="00A984"/>
          <w:kern w:val="0"/>
          <w:lang w:val="el-GR" w:eastAsia="sl-SI"/>
          <w14:ligatures w14:val="none"/>
        </w:rPr>
      </w:pPr>
      <w:r>
        <w:rPr>
          <w:rFonts w:eastAsia="Times New Roman" w:cs="Open Sans" w:ascii="Open Sans" w:hAnsi="Open Sans"/>
          <w:b/>
          <w:bCs/>
          <w:i/>
          <w:iCs/>
          <w:color w:val="00A984"/>
          <w:kern w:val="0"/>
          <w:lang w:val="el-GR" w:eastAsia="sl-SI"/>
          <w14:ligatures w14:val="none"/>
        </w:rPr>
        <w:t>Ανάπτυξη ενός εργαλείου πολιτικής</w:t>
      </w:r>
    </w:p>
    <w:p>
      <w:pPr>
        <w:pStyle w:val="Normal"/>
        <w:spacing w:lineRule="auto" w:line="240" w:beforeAutospacing="1" w:afterAutospacing="1"/>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Συνιστάται μια βήμα προς βήμα προσέγγιση:</w:t>
      </w:r>
    </w:p>
    <w:p>
      <w:pPr>
        <w:pStyle w:val="ListParagraph"/>
        <w:numPr>
          <w:ilvl w:val="0"/>
          <w:numId w:val="5"/>
        </w:numPr>
        <w:spacing w:lineRule="auto" w:line="240" w:beforeAutospacing="1" w:after="0"/>
        <w:contextualSpacing/>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Αναλύστε τις υπάρχουσες πολιτικές για να εντοπίσετε τα οφέλη, τα κενά και τις ευκαιρίες για συνδυαστική χρηματοδότηση.</w:t>
      </w:r>
    </w:p>
    <w:p>
      <w:pPr>
        <w:pStyle w:val="ListParagraph"/>
        <w:numPr>
          <w:ilvl w:val="0"/>
          <w:numId w:val="5"/>
        </w:numPr>
        <w:spacing w:lineRule="auto" w:line="240" w:before="0" w:after="0"/>
        <w:contextualSpacing/>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Προσδιορίστε τους πιθανούς ενδιαφερόμενους φορείς, συμπεριλαμβανομένων των θεσμικών οργάνων και των ειδικών που θα πρέπει να συμμετέχουν στην υλοποίηση.</w:t>
      </w:r>
    </w:p>
    <w:p>
      <w:pPr>
        <w:pStyle w:val="ListParagraph"/>
        <w:numPr>
          <w:ilvl w:val="0"/>
          <w:numId w:val="5"/>
        </w:numPr>
        <w:spacing w:lineRule="auto" w:line="240" w:before="0" w:afterAutospacing="1"/>
        <w:contextualSpacing/>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Αναπτύξτε μια δομημένη διαδικασία για την έναρξη του προγράμματος συνδυαστικής χρηματοδότησης.</w:t>
      </w:r>
    </w:p>
    <w:p>
      <w:pPr>
        <w:pStyle w:val="Normal"/>
        <w:spacing w:lineRule="auto" w:line="240" w:beforeAutospacing="1" w:afterAutospacing="1"/>
        <w:jc w:val="both"/>
        <w:rPr>
          <w:rFonts w:ascii="Open Sans" w:hAnsi="Open Sans" w:eastAsia="Times New Roman" w:cs="Open Sans"/>
          <w:b/>
          <w:b/>
          <w:bCs/>
          <w:i/>
          <w:i/>
          <w:iCs/>
          <w:color w:val="00A984"/>
          <w:kern w:val="0"/>
          <w:lang w:val="el-GR" w:eastAsia="sl-SI"/>
          <w14:ligatures w14:val="none"/>
        </w:rPr>
      </w:pPr>
      <w:r>
        <w:rPr>
          <w:rFonts w:eastAsia="Times New Roman" w:cs="Open Sans" w:ascii="Open Sans" w:hAnsi="Open Sans"/>
          <w:b/>
          <w:bCs/>
          <w:i/>
          <w:iCs/>
          <w:color w:val="00A984"/>
          <w:kern w:val="0"/>
          <w:lang w:eastAsia="sl-SI"/>
          <w14:ligatures w14:val="none"/>
        </w:rPr>
        <w:t>Βασικά βήματα σχεδιασμού</w:t>
      </w:r>
    </w:p>
    <w:p>
      <w:pPr>
        <w:pStyle w:val="Normal"/>
        <w:numPr>
          <w:ilvl w:val="0"/>
          <w:numId w:val="2"/>
        </w:numPr>
        <w:spacing w:lineRule="auto" w:line="240" w:beforeAutospacing="1" w:after="0"/>
        <w:jc w:val="both"/>
        <w:rPr>
          <w:rFonts w:ascii="Open Sans" w:hAnsi="Open Sans" w:eastAsia="Times New Roman" w:cs="Open Sans"/>
          <w:kern w:val="0"/>
          <w:lang w:val="el-GR" w:eastAsia="sl-SI"/>
          <w14:ligatures w14:val="none"/>
        </w:rPr>
      </w:pPr>
      <w:r>
        <w:rPr>
          <w:rFonts w:eastAsia="Times New Roman" w:cs="Open Sans" w:ascii="Open Sans" w:hAnsi="Open Sans"/>
          <w:b/>
          <w:bCs/>
          <w:kern w:val="0"/>
          <w:lang w:eastAsia="sl-SI"/>
          <w14:ligatures w14:val="none"/>
        </w:rPr>
        <w:t>Βήμα 1: Έρευνα και ανάλυση</w:t>
      </w:r>
    </w:p>
    <w:p>
      <w:pPr>
        <w:pStyle w:val="Normal"/>
        <w:numPr>
          <w:ilvl w:val="1"/>
          <w:numId w:val="2"/>
        </w:numPr>
        <w:spacing w:lineRule="auto" w:line="240" w:before="0" w:after="0"/>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Καθορίστε τους στόχους αντίκτυπου του χρηματοδοτικού εργαλείου και προσδιορίστε το ρόλο της συμμετοχής της κοινότητας.</w:t>
      </w:r>
    </w:p>
    <w:p>
      <w:pPr>
        <w:pStyle w:val="Normal"/>
        <w:numPr>
          <w:ilvl w:val="1"/>
          <w:numId w:val="2"/>
        </w:numPr>
        <w:spacing w:lineRule="auto" w:line="240" w:before="0" w:after="0"/>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Αναλύστε την περιφερειακή αγορά συμμετοχικής χρηματοδότησης και αξιολογήστε την ετοιμότητα για συνδυαστική χρηματοδότηση.</w:t>
      </w:r>
    </w:p>
    <w:p>
      <w:pPr>
        <w:pStyle w:val="Normal"/>
        <w:numPr>
          <w:ilvl w:val="1"/>
          <w:numId w:val="2"/>
        </w:numPr>
        <w:spacing w:lineRule="auto" w:line="240" w:before="0" w:after="0"/>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Εξετάστε τους κανονισμούς κρατικών ενισχύσεων και των Ευρωπαϊκών Διαρθρωτικών και Επενδυτικών Ταμείων (ΕΔΕΤ) για να διασφαλίσετε τη συμμόρφωση.</w:t>
      </w:r>
    </w:p>
    <w:p>
      <w:pPr>
        <w:pStyle w:val="Normal"/>
        <w:numPr>
          <w:ilvl w:val="0"/>
          <w:numId w:val="2"/>
        </w:numPr>
        <w:spacing w:lineRule="auto" w:line="240" w:before="0" w:after="0"/>
        <w:jc w:val="both"/>
        <w:rPr>
          <w:rFonts w:ascii="Open Sans" w:hAnsi="Open Sans" w:eastAsia="Times New Roman" w:cs="Open Sans"/>
          <w:kern w:val="0"/>
          <w:lang w:val="el-GR" w:eastAsia="sl-SI"/>
          <w14:ligatures w14:val="none"/>
        </w:rPr>
      </w:pPr>
      <w:r>
        <w:rPr>
          <w:rFonts w:eastAsia="Times New Roman" w:cs="Open Sans" w:ascii="Open Sans" w:hAnsi="Open Sans"/>
          <w:b/>
          <w:bCs/>
          <w:kern w:val="0"/>
          <w:lang w:eastAsia="sl-SI"/>
          <w14:ligatures w14:val="none"/>
        </w:rPr>
        <w:t>Βήμα 2: Έλεγχος σκοπιμότητας και προσδιορισμός βασικών στοιχείων</w:t>
      </w:r>
    </w:p>
    <w:p>
      <w:pPr>
        <w:pStyle w:val="Normal"/>
        <w:numPr>
          <w:ilvl w:val="1"/>
          <w:numId w:val="2"/>
        </w:numPr>
        <w:spacing w:lineRule="auto" w:line="240" w:before="0" w:after="0"/>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Ορίστε και επιλέξτε την κοινότητα-στόχο για τη συνδυαστική χρηματοδότηση.</w:t>
      </w:r>
    </w:p>
    <w:p>
      <w:pPr>
        <w:pStyle w:val="Normal"/>
        <w:numPr>
          <w:ilvl w:val="1"/>
          <w:numId w:val="2"/>
        </w:numPr>
        <w:spacing w:lineRule="auto" w:line="240" w:before="0" w:after="0"/>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Αξιολογήστε το προφίλ κινδύνου της κοινότητας, συμπεριλαμβανομένης της ανεκτικότητας στον κίνδυνο και της ικανότητάς της να απορροφήσει ενδεχόμενες απώλειες.</w:t>
      </w:r>
    </w:p>
    <w:p>
      <w:pPr>
        <w:pStyle w:val="Normal"/>
        <w:numPr>
          <w:ilvl w:val="1"/>
          <w:numId w:val="2"/>
        </w:numPr>
        <w:spacing w:lineRule="auto" w:line="240" w:before="0" w:after="0"/>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Προσδιορίστε τα κατάλληλα επίπεδα κινδύνου για το χρηματοδοτικό εργαλείο.</w:t>
      </w:r>
    </w:p>
    <w:p>
      <w:pPr>
        <w:pStyle w:val="Normal"/>
        <w:numPr>
          <w:ilvl w:val="1"/>
          <w:numId w:val="2"/>
        </w:numPr>
        <w:spacing w:lineRule="auto" w:line="240" w:before="0" w:after="0"/>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Αναπτύξτε επιλογές χρηματοδότησης και στρατηγικές μείωσης κινδύνου.</w:t>
      </w:r>
    </w:p>
    <w:p>
      <w:pPr>
        <w:pStyle w:val="Normal"/>
        <w:numPr>
          <w:ilvl w:val="1"/>
          <w:numId w:val="2"/>
        </w:numPr>
        <w:spacing w:lineRule="auto" w:line="240" w:before="0" w:after="0"/>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Καθορίστε τους βασικούς ρόλους που απαιτούνται για την υλοποίηση του προγράμματος.</w:t>
      </w:r>
    </w:p>
    <w:p>
      <w:pPr>
        <w:pStyle w:val="Normal"/>
        <w:numPr>
          <w:ilvl w:val="1"/>
          <w:numId w:val="2"/>
        </w:numPr>
        <w:spacing w:lineRule="auto" w:line="240" w:before="0" w:after="0"/>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Δημιουργήστε τη χρηματοδοτική δομή και αποφασίστε το επίπεδο συμμετοχής των πολιτών.</w:t>
      </w:r>
    </w:p>
    <w:p>
      <w:pPr>
        <w:pStyle w:val="Normal"/>
        <w:numPr>
          <w:ilvl w:val="0"/>
          <w:numId w:val="2"/>
        </w:numPr>
        <w:spacing w:lineRule="auto" w:line="240" w:before="0" w:after="0"/>
        <w:jc w:val="both"/>
        <w:rPr>
          <w:rFonts w:ascii="Open Sans" w:hAnsi="Open Sans" w:eastAsia="Times New Roman" w:cs="Open Sans"/>
          <w:kern w:val="0"/>
          <w:lang w:val="el-GR" w:eastAsia="sl-SI"/>
          <w14:ligatures w14:val="none"/>
        </w:rPr>
      </w:pPr>
      <w:r>
        <w:rPr>
          <w:rFonts w:eastAsia="Times New Roman" w:cs="Open Sans" w:ascii="Open Sans" w:hAnsi="Open Sans"/>
          <w:b/>
          <w:bCs/>
          <w:kern w:val="0"/>
          <w:lang w:eastAsia="sl-SI"/>
          <w14:ligatures w14:val="none"/>
        </w:rPr>
        <w:t>Βήμα 3: Σχεδιασμός της έναρξης του προγράμματος</w:t>
      </w:r>
    </w:p>
    <w:p>
      <w:pPr>
        <w:pStyle w:val="Normal"/>
        <w:numPr>
          <w:ilvl w:val="1"/>
          <w:numId w:val="2"/>
        </w:numPr>
        <w:spacing w:lineRule="auto" w:line="240" w:before="0" w:after="0"/>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Προσδιορίστε το αρμόδιο όργανο υλοποίησης και τα τεχνολογικά εργαλεία που απαιτούνται.</w:t>
      </w:r>
    </w:p>
    <w:p>
      <w:pPr>
        <w:pStyle w:val="Normal"/>
        <w:numPr>
          <w:ilvl w:val="1"/>
          <w:numId w:val="2"/>
        </w:numPr>
        <w:spacing w:lineRule="auto" w:line="240" w:before="0" w:after="0"/>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Διασφαλίστε τη συμμόρφωση με τις απαιτήσεις χρηματοδότησης των Ευρωπαϊκών Διαρθρωτικών και Επενδυτικών Ταμείων (ΕΔΕΤ), εφόσον είναι απαραίτητο.</w:t>
      </w:r>
    </w:p>
    <w:p>
      <w:pPr>
        <w:pStyle w:val="Normal"/>
        <w:numPr>
          <w:ilvl w:val="0"/>
          <w:numId w:val="2"/>
        </w:numPr>
        <w:spacing w:lineRule="auto" w:line="240" w:before="0" w:after="0"/>
        <w:jc w:val="both"/>
        <w:rPr>
          <w:rFonts w:ascii="Open Sans" w:hAnsi="Open Sans" w:eastAsia="Times New Roman" w:cs="Open Sans"/>
          <w:kern w:val="0"/>
          <w:lang w:val="el-GR" w:eastAsia="sl-SI"/>
          <w14:ligatures w14:val="none"/>
        </w:rPr>
      </w:pPr>
      <w:r>
        <w:rPr>
          <w:rFonts w:eastAsia="Times New Roman" w:cs="Open Sans" w:ascii="Open Sans" w:hAnsi="Open Sans"/>
          <w:b/>
          <w:bCs/>
          <w:kern w:val="0"/>
          <w:lang w:eastAsia="sl-SI"/>
          <w14:ligatures w14:val="none"/>
        </w:rPr>
        <w:t xml:space="preserve">Βήμα 4: Ανάπτυξη καμπάνιας </w:t>
      </w:r>
      <w:r>
        <w:rPr>
          <w:rFonts w:eastAsia="Times New Roman" w:cs="Open Sans" w:ascii="Open Sans" w:hAnsi="Open Sans"/>
          <w:b/>
          <w:bCs/>
          <w:kern w:val="0"/>
          <w:lang w:val="el-GR" w:eastAsia="sl-SI"/>
          <w14:ligatures w14:val="none"/>
        </w:rPr>
        <w:t xml:space="preserve">συμμετοχικής χρηματοδότησης </w:t>
      </w:r>
    </w:p>
    <w:p>
      <w:pPr>
        <w:pStyle w:val="Normal"/>
        <w:numPr>
          <w:ilvl w:val="1"/>
          <w:numId w:val="2"/>
        </w:numPr>
        <w:spacing w:lineRule="auto" w:line="240" w:before="0" w:after="0"/>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Αναλύστε τα δίκτυα για να προσδιορίσετε την καλύτερη προσέγγιση για την ενεργοποίηση επενδυτών και πολιτών.</w:t>
      </w:r>
    </w:p>
    <w:p>
      <w:pPr>
        <w:pStyle w:val="Normal"/>
        <w:numPr>
          <w:ilvl w:val="1"/>
          <w:numId w:val="2"/>
        </w:numPr>
        <w:spacing w:lineRule="auto" w:line="240" w:before="0" w:after="0"/>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Θέστε σαφείς στόχους συνδυαστικής χρηματοδότησης και καθορίστε τα κίνητρα για τους συμμετέχοντες.</w:t>
      </w:r>
    </w:p>
    <w:p>
      <w:pPr>
        <w:pStyle w:val="Normal"/>
        <w:numPr>
          <w:ilvl w:val="1"/>
          <w:numId w:val="2"/>
        </w:numPr>
        <w:spacing w:lineRule="auto" w:line="240" w:before="0" w:after="0"/>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Σχεδιάστε ένα λεπτομερές χρονοδιάγραμμα για την υλοποίηση.</w:t>
      </w:r>
    </w:p>
    <w:p>
      <w:pPr>
        <w:pStyle w:val="Normal"/>
        <w:numPr>
          <w:ilvl w:val="1"/>
          <w:numId w:val="2"/>
        </w:numPr>
        <w:spacing w:lineRule="auto" w:line="240" w:before="0" w:after="0"/>
        <w:jc w:val="both"/>
        <w:rPr>
          <w:rFonts w:ascii="Open Sans" w:hAnsi="Open Sans" w:eastAsia="Times New Roman" w:cs="Open Sans"/>
          <w:kern w:val="0"/>
          <w:lang w:val="el-GR" w:eastAsia="sl-SI"/>
          <w14:ligatures w14:val="none"/>
        </w:rPr>
      </w:pPr>
      <w:r>
        <w:rPr>
          <w:rFonts w:eastAsia="Times New Roman" w:cs="Open Sans" w:ascii="Open Sans" w:hAnsi="Open Sans"/>
          <w:kern w:val="0"/>
          <w:lang w:val="el-GR" w:eastAsia="sl-SI"/>
          <w14:ligatures w14:val="none"/>
        </w:rPr>
        <w:t>Παρέχετε υποστήριξη στους επιχειρηματίες ώστε να οργανώσουν επιτυχημένες καμπάνιες συμμετοχικής χρηματοδότησης.</w:t>
      </w:r>
    </w:p>
    <w:p>
      <w:pPr>
        <w:pStyle w:val="Normal"/>
        <w:numPr>
          <w:ilvl w:val="1"/>
          <w:numId w:val="2"/>
        </w:numPr>
        <w:spacing w:lineRule="auto" w:line="240" w:before="0" w:afterAutospacing="1"/>
        <w:jc w:val="both"/>
        <w:rPr>
          <w:rFonts w:ascii="Open Sans" w:hAnsi="Open Sans" w:eastAsia="Times New Roman" w:cs="Open Sans"/>
          <w:b/>
          <w:b/>
          <w:bCs/>
          <w:i/>
          <w:i/>
          <w:iCs/>
          <w:color w:val="00A984"/>
          <w:kern w:val="0"/>
          <w:lang w:val="el-GR" w:eastAsia="sl-SI"/>
          <w14:ligatures w14:val="none"/>
        </w:rPr>
      </w:pPr>
      <w:r>
        <w:rPr>
          <w:rFonts w:eastAsia="Times New Roman" w:cs="Open Sans" w:ascii="Open Sans" w:hAnsi="Open Sans"/>
          <w:kern w:val="0"/>
          <w:lang w:val="el-GR" w:eastAsia="sl-SI"/>
          <w14:ligatures w14:val="none"/>
        </w:rPr>
        <w:t xml:space="preserve">Εγκαθιδρύστε μηχανισμούς συμμετοχής των πολιτών, διασφαλίζοντας την ενεργή εμπλοκή τους. </w:t>
      </w:r>
    </w:p>
    <w:p>
      <w:pPr>
        <w:pStyle w:val="Normal"/>
        <w:spacing w:lineRule="auto" w:line="240" w:beforeAutospacing="1" w:afterAutospacing="1"/>
        <w:jc w:val="both"/>
        <w:rPr>
          <w:rFonts w:ascii="Open Sans" w:hAnsi="Open Sans" w:eastAsia="Times New Roman" w:cs="Open Sans"/>
          <w:b/>
          <w:b/>
          <w:bCs/>
          <w:i/>
          <w:i/>
          <w:iCs/>
          <w:color w:val="00A984"/>
          <w:kern w:val="0"/>
          <w:lang w:val="el-GR" w:eastAsia="sl-SI"/>
          <w14:ligatures w14:val="none"/>
        </w:rPr>
      </w:pPr>
      <w:r>
        <w:rPr>
          <w:rFonts w:eastAsia="Times New Roman" w:cs="Open Sans" w:ascii="Open Sans" w:hAnsi="Open Sans"/>
          <w:b/>
          <w:bCs/>
          <w:i/>
          <w:iCs/>
          <w:color w:val="00A984"/>
          <w:kern w:val="0"/>
          <w:lang w:eastAsia="sl-SI"/>
          <w14:ligatures w14:val="none"/>
        </w:rPr>
        <w:t>Συμπέρασμα</w:t>
      </w:r>
    </w:p>
    <w:p>
      <w:pPr>
        <w:pStyle w:val="Normal"/>
        <w:spacing w:lineRule="auto" w:line="240" w:beforeAutospacing="1" w:afterAutospacing="1"/>
        <w:jc w:val="both"/>
        <w:rPr/>
      </w:pPr>
      <w:r>
        <w:rPr>
          <w:rFonts w:eastAsia="Times New Roman" w:cs="Open Sans" w:ascii="Open Sans" w:hAnsi="Open Sans"/>
          <w:kern w:val="0"/>
          <w:lang w:eastAsia="sl-SI"/>
          <w14:ligatures w14:val="none"/>
        </w:rPr>
        <w:t xml:space="preserve">Η </w:t>
      </w:r>
      <w:r>
        <w:rPr>
          <w:rFonts w:eastAsia="Times New Roman" w:cs="Open Sans" w:ascii="Open Sans" w:hAnsi="Open Sans"/>
          <w:kern w:val="0"/>
          <w:lang w:val="el-GR" w:eastAsia="sl-SI"/>
          <w14:ligatures w14:val="none"/>
        </w:rPr>
        <w:t>συνδυαστική</w:t>
      </w:r>
      <w:r>
        <w:rPr>
          <w:rFonts w:eastAsia="Times New Roman" w:cs="Open Sans" w:ascii="Open Sans" w:hAnsi="Open Sans"/>
          <w:kern w:val="0"/>
          <w:lang w:eastAsia="sl-SI"/>
          <w14:ligatures w14:val="none"/>
        </w:rPr>
        <w:t xml:space="preserve"> χρηματοδότηση προσφέρει μια σημαντική ευκαιρία για τις περιφερειακές και τοπικές αρχές να μεγιστοποιήσουν τον αντίκτυπο της δημόσιας χρηματοδότησης, αξιοποιώντας παράλληλα ιδιωτικές και κοινοτικές συνεισφορές. Η μεθοδολογία που παρουσιάζεται σε αυτήν την έκθεση παρέχει μια δομημένη προσέγγιση για τον σχεδιασμό και την υλοποίηση προγραμμάτων </w:t>
      </w:r>
      <w:r>
        <w:rPr>
          <w:rFonts w:eastAsia="Times New Roman" w:cs="Open Sans" w:ascii="Open Sans" w:hAnsi="Open Sans"/>
          <w:kern w:val="0"/>
          <w:lang w:val="el-GR" w:eastAsia="sl-SI"/>
          <w14:ligatures w14:val="none"/>
        </w:rPr>
        <w:t>συνδυαστικής</w:t>
      </w:r>
      <w:r>
        <w:rPr>
          <w:rFonts w:eastAsia="Times New Roman" w:cs="Open Sans" w:ascii="Open Sans" w:hAnsi="Open Sans"/>
          <w:kern w:val="0"/>
          <w:lang w:eastAsia="sl-SI"/>
          <w14:ligatures w14:val="none"/>
        </w:rPr>
        <w:t xml:space="preserve"> χρηματοδότησης. Οι δημόσιες αρχές μπορούν να ενισχύσουν τη διαφάνεια, τη λογοδοσία και την υποστήριξη της κοινότητας, εμπλέκοντας τους πολίτες στις αποφάσεις χρηματοδότησης και στην εποπτεία των έργων. Παρόλο που υπάρχουν προκλήσεις, όπως ο κίνδυνος για τη φήμη και η πολυπλοκότητα στη διαδικασία λήψης αποφάσεων, ο σωστός σχεδιασμός και η διαχείριση των κινδύνων μπορούν να μειώσουν αυτές τις ανησυχίες, καθιστώντας τη </w:t>
      </w:r>
      <w:r>
        <w:rPr>
          <w:rFonts w:eastAsia="Times New Roman" w:cs="Open Sans" w:ascii="Open Sans" w:hAnsi="Open Sans"/>
          <w:kern w:val="0"/>
          <w:lang w:val="el-GR" w:eastAsia="sl-SI"/>
          <w14:ligatures w14:val="none"/>
        </w:rPr>
        <w:t>συνδυαστική</w:t>
      </w:r>
      <w:r>
        <w:rPr>
          <w:rFonts w:eastAsia="Times New Roman" w:cs="Open Sans" w:ascii="Open Sans" w:hAnsi="Open Sans"/>
          <w:kern w:val="0"/>
          <w:lang w:eastAsia="sl-SI"/>
          <w14:ligatures w14:val="none"/>
        </w:rPr>
        <w:t xml:space="preserve"> χρηματοδότηση ένα ισχυρό εργαλείο για την περιφερειακή ανάπτυξη. Περισσότερες λεπτομέρειες παρέχονται στο πλήρες έγγραφο</w:t>
      </w:r>
      <w:r>
        <w:rPr>
          <w:rFonts w:eastAsia="Times New Roman" w:cs="Open Sans" w:ascii="Open Sans" w:hAnsi="Open Sans"/>
          <w:kern w:val="0"/>
          <w:lang w:val="el-GR" w:eastAsia="sl-SI"/>
          <w14:ligatures w14:val="none"/>
        </w:rPr>
        <w:t xml:space="preserve">: </w:t>
      </w:r>
      <w:hyperlink r:id="rId2">
        <w:r>
          <w:rPr>
            <w:rStyle w:val="Style15"/>
            <w:rFonts w:eastAsia="Times New Roman" w:cs="Open Sans" w:ascii="Open Sans" w:hAnsi="Open Sans"/>
            <w:b/>
            <w:bCs/>
            <w:kern w:val="0"/>
            <w:lang w:val="el-GR" w:eastAsia="sl-SI"/>
            <w14:ligatures w14:val="none"/>
          </w:rPr>
          <w:t>ΕΔΩ</w:t>
        </w:r>
      </w:hyperlink>
    </w:p>
    <w:p>
      <w:pPr>
        <w:pStyle w:val="Normal"/>
        <w:jc w:val="both"/>
        <w:rPr>
          <w:rFonts w:ascii="Open Sans" w:hAnsi="Open Sans" w:cs="Open Sans"/>
          <w:b/>
          <w:b/>
          <w:bCs/>
          <w:i/>
          <w:i/>
          <w:iCs/>
          <w:color w:val="00A984"/>
          <w:sz w:val="28"/>
          <w:szCs w:val="28"/>
          <w:u w:val="single"/>
          <w:lang w:val="el-GR"/>
        </w:rPr>
      </w:pPr>
      <w:r>
        <w:rPr>
          <w:rFonts w:cs="Open Sans" w:ascii="Open Sans" w:hAnsi="Open Sans"/>
          <w:b/>
          <w:bCs/>
          <w:i/>
          <w:iCs/>
          <w:color w:val="00A984"/>
          <w:sz w:val="28"/>
          <w:szCs w:val="28"/>
          <w:u w:val="single"/>
          <w:lang w:val="el-GR"/>
        </w:rPr>
      </w:r>
    </w:p>
    <w:p>
      <w:pPr>
        <w:pStyle w:val="Normal"/>
        <w:jc w:val="both"/>
        <w:rPr>
          <w:rFonts w:ascii="Open Sans" w:hAnsi="Open Sans" w:cs="Open Sans"/>
          <w:b/>
          <w:b/>
          <w:bCs/>
          <w:i/>
          <w:i/>
          <w:iCs/>
          <w:color w:val="00A984"/>
          <w:sz w:val="28"/>
          <w:szCs w:val="28"/>
          <w:u w:val="single"/>
          <w:lang w:val="el-GR"/>
        </w:rPr>
      </w:pPr>
      <w:r>
        <w:rPr>
          <w:rFonts w:cs="Open Sans" w:ascii="Open Sans" w:hAnsi="Open Sans"/>
          <w:b/>
          <w:bCs/>
          <w:i/>
          <w:iCs/>
          <w:color w:val="00A984"/>
          <w:sz w:val="28"/>
          <w:szCs w:val="28"/>
          <w:u w:val="single"/>
          <w:lang w:val="el-GR"/>
        </w:rPr>
      </w:r>
    </w:p>
    <w:p>
      <w:pPr>
        <w:pStyle w:val="Normal"/>
        <w:jc w:val="both"/>
        <w:rPr>
          <w:rFonts w:ascii="Open Sans" w:hAnsi="Open Sans" w:cs="Open Sans"/>
          <w:b/>
          <w:b/>
          <w:bCs/>
          <w:i/>
          <w:i/>
          <w:iCs/>
          <w:color w:val="00A984"/>
          <w:sz w:val="28"/>
          <w:szCs w:val="28"/>
          <w:u w:val="single"/>
          <w:lang w:val="el-GR"/>
        </w:rPr>
      </w:pPr>
      <w:r>
        <w:rPr>
          <w:rFonts w:cs="Open Sans" w:ascii="Open Sans" w:hAnsi="Open Sans"/>
          <w:b/>
          <w:bCs/>
          <w:i/>
          <w:iCs/>
          <w:color w:val="00A984"/>
          <w:sz w:val="28"/>
          <w:szCs w:val="28"/>
          <w:u w:val="single"/>
          <w:lang w:val="el-GR"/>
        </w:rPr>
      </w:r>
    </w:p>
    <w:p>
      <w:pPr>
        <w:pStyle w:val="Normal"/>
        <w:jc w:val="both"/>
        <w:rPr>
          <w:rFonts w:ascii="Open Sans" w:hAnsi="Open Sans" w:cs="Open Sans"/>
          <w:b/>
          <w:b/>
          <w:bCs/>
          <w:i/>
          <w:i/>
          <w:iCs/>
          <w:color w:val="00A984"/>
          <w:sz w:val="28"/>
          <w:szCs w:val="28"/>
          <w:u w:val="single"/>
          <w:lang w:val="el-GR"/>
        </w:rPr>
      </w:pPr>
      <w:r>
        <w:rPr>
          <w:rFonts w:cs="Open Sans" w:ascii="Open Sans" w:hAnsi="Open Sans"/>
          <w:b/>
          <w:bCs/>
          <w:i/>
          <w:iCs/>
          <w:color w:val="00A984"/>
          <w:sz w:val="28"/>
          <w:szCs w:val="28"/>
          <w:u w:val="single"/>
          <w:lang w:val="el-GR"/>
        </w:rPr>
      </w:r>
    </w:p>
    <w:p>
      <w:pPr>
        <w:pStyle w:val="Normal"/>
        <w:jc w:val="both"/>
        <w:rPr>
          <w:rFonts w:ascii="Open Sans" w:hAnsi="Open Sans" w:cs="Open Sans"/>
          <w:b/>
          <w:b/>
          <w:bCs/>
          <w:i/>
          <w:i/>
          <w:iCs/>
          <w:color w:val="00A984"/>
          <w:sz w:val="28"/>
          <w:szCs w:val="28"/>
          <w:u w:val="single"/>
          <w:lang w:val="en-GB"/>
        </w:rPr>
      </w:pPr>
      <w:r>
        <w:rPr>
          <w:rFonts w:cs="Open Sans" w:ascii="Open Sans" w:hAnsi="Open Sans"/>
          <w:b/>
          <w:bCs/>
          <w:i/>
          <w:iCs/>
          <w:color w:val="00A984"/>
          <w:sz w:val="28"/>
          <w:szCs w:val="28"/>
          <w:u w:val="single"/>
        </w:rPr>
        <w:t>ΕΠΕΡΧ</w:t>
      </w:r>
      <w:r>
        <w:rPr>
          <w:rFonts w:cs="Open Sans" w:ascii="Open Sans" w:hAnsi="Open Sans"/>
          <w:b/>
          <w:bCs/>
          <w:i/>
          <w:iCs/>
          <w:color w:val="00A984"/>
          <w:sz w:val="28"/>
          <w:szCs w:val="28"/>
          <w:u w:val="single"/>
          <w:lang w:val="el-GR"/>
        </w:rPr>
        <w:t>Ο</w:t>
      </w:r>
      <w:r>
        <w:rPr>
          <w:rFonts w:cs="Open Sans" w:ascii="Open Sans" w:hAnsi="Open Sans"/>
          <w:b/>
          <w:bCs/>
          <w:i/>
          <w:iCs/>
          <w:color w:val="00A984"/>
          <w:sz w:val="28"/>
          <w:szCs w:val="28"/>
          <w:u w:val="single"/>
        </w:rPr>
        <w:t>ΜΕΝΕΣ ΔΡΑΣΤΗΡΙ</w:t>
      </w:r>
      <w:r>
        <w:rPr>
          <w:rFonts w:cs="Open Sans" w:ascii="Open Sans" w:hAnsi="Open Sans"/>
          <w:b/>
          <w:bCs/>
          <w:i/>
          <w:iCs/>
          <w:color w:val="00A984"/>
          <w:sz w:val="28"/>
          <w:szCs w:val="28"/>
          <w:u w:val="single"/>
          <w:lang w:val="el-GR"/>
        </w:rPr>
        <w:t>Ο</w:t>
      </w:r>
      <w:r>
        <w:rPr>
          <w:rFonts w:cs="Open Sans" w:ascii="Open Sans" w:hAnsi="Open Sans"/>
          <w:b/>
          <w:bCs/>
          <w:i/>
          <w:iCs/>
          <w:color w:val="00A984"/>
          <w:sz w:val="28"/>
          <w:szCs w:val="28"/>
          <w:u w:val="single"/>
        </w:rPr>
        <w:t>ΤΗΤΕΣ</w:t>
      </w:r>
    </w:p>
    <w:p>
      <w:pPr>
        <w:pStyle w:val="Default"/>
        <w:ind w:left="720" w:hanging="0"/>
        <w:rPr>
          <w:b/>
          <w:b/>
          <w:bCs/>
          <w:color w:val="auto"/>
          <w:kern w:val="2"/>
          <w:sz w:val="22"/>
          <w:szCs w:val="22"/>
          <w:lang w:val="en-GB"/>
        </w:rPr>
      </w:pPr>
      <w:r>
        <w:rPr>
          <w:b/>
          <w:bCs/>
          <w:color w:val="auto"/>
          <w:kern w:val="2"/>
          <w:sz w:val="22"/>
          <w:szCs w:val="22"/>
          <w:lang w:val="en-GB"/>
        </w:rPr>
      </w:r>
    </w:p>
    <w:p>
      <w:pPr>
        <w:pStyle w:val="Default"/>
        <w:numPr>
          <w:ilvl w:val="0"/>
          <w:numId w:val="1"/>
        </w:numPr>
        <w:rPr>
          <w:b/>
          <w:b/>
          <w:bCs/>
          <w:color w:val="auto"/>
          <w:kern w:val="2"/>
          <w:sz w:val="22"/>
          <w:szCs w:val="22"/>
          <w:lang w:val="el-GR"/>
        </w:rPr>
      </w:pPr>
      <w:r>
        <w:rPr>
          <w:b/>
          <w:bCs/>
          <w:color w:val="auto"/>
          <w:kern w:val="2"/>
          <w:sz w:val="22"/>
          <w:szCs w:val="22"/>
        </w:rPr>
        <w:t>ΕΠ</w:t>
      </w:r>
      <w:r>
        <w:rPr>
          <w:b/>
          <w:bCs/>
          <w:color w:val="auto"/>
          <w:kern w:val="2"/>
          <w:sz w:val="22"/>
          <w:szCs w:val="22"/>
          <w:lang w:val="el-GR"/>
        </w:rPr>
        <w:t>Ο</w:t>
      </w:r>
      <w:r>
        <w:rPr>
          <w:b/>
          <w:bCs/>
          <w:color w:val="auto"/>
          <w:kern w:val="2"/>
          <w:sz w:val="22"/>
          <w:szCs w:val="22"/>
        </w:rPr>
        <w:t>ΜΕΝΗ ΣΥΝ</w:t>
      </w:r>
      <w:r>
        <w:rPr>
          <w:b/>
          <w:bCs/>
          <w:color w:val="auto"/>
          <w:kern w:val="2"/>
          <w:sz w:val="22"/>
          <w:szCs w:val="22"/>
          <w:lang w:val="el-GR"/>
        </w:rPr>
        <w:t>Α</w:t>
      </w:r>
      <w:r>
        <w:rPr>
          <w:b/>
          <w:bCs/>
          <w:color w:val="auto"/>
          <w:kern w:val="2"/>
          <w:sz w:val="22"/>
          <w:szCs w:val="22"/>
        </w:rPr>
        <w:t>ΝΤΗΣΗ ΤΗΣ ΟΜ</w:t>
      </w:r>
      <w:r>
        <w:rPr>
          <w:b/>
          <w:bCs/>
          <w:color w:val="auto"/>
          <w:kern w:val="2"/>
          <w:sz w:val="22"/>
          <w:szCs w:val="22"/>
          <w:lang w:val="el-GR"/>
        </w:rPr>
        <w:t>Α</w:t>
      </w:r>
      <w:r>
        <w:rPr>
          <w:b/>
          <w:bCs/>
          <w:color w:val="auto"/>
          <w:kern w:val="2"/>
          <w:sz w:val="22"/>
          <w:szCs w:val="22"/>
        </w:rPr>
        <w:t xml:space="preserve">ΔΑΣ </w:t>
      </w:r>
      <w:r>
        <w:rPr>
          <w:b/>
          <w:bCs/>
          <w:color w:val="auto"/>
          <w:kern w:val="2"/>
          <w:sz w:val="22"/>
          <w:szCs w:val="22"/>
          <w:lang w:val="el-GR"/>
        </w:rPr>
        <w:t>Ε</w:t>
      </w:r>
      <w:r>
        <w:rPr>
          <w:b/>
          <w:bCs/>
          <w:color w:val="auto"/>
          <w:kern w:val="2"/>
          <w:sz w:val="22"/>
          <w:szCs w:val="22"/>
        </w:rPr>
        <w:t>ΡΓΟΥ ΚΑΙ 4</w:t>
      </w:r>
      <w:r>
        <w:rPr>
          <w:b/>
          <w:bCs/>
          <w:color w:val="auto"/>
          <w:kern w:val="2"/>
          <w:sz w:val="22"/>
          <w:szCs w:val="22"/>
          <w:vertAlign w:val="superscript"/>
          <w:lang w:val="el-GR"/>
        </w:rPr>
        <w:t>ο</w:t>
      </w:r>
      <w:r>
        <w:rPr>
          <w:b/>
          <w:bCs/>
          <w:color w:val="auto"/>
          <w:kern w:val="2"/>
          <w:sz w:val="22"/>
          <w:szCs w:val="22"/>
          <w:lang w:val="el-GR"/>
        </w:rPr>
        <w:t xml:space="preserve"> </w:t>
      </w:r>
      <w:r>
        <w:rPr>
          <w:b/>
          <w:bCs/>
          <w:color w:val="auto"/>
          <w:kern w:val="2"/>
          <w:sz w:val="22"/>
          <w:szCs w:val="22"/>
        </w:rPr>
        <w:t>ΔΙΑΚΡΑΤΙΚ</w:t>
      </w:r>
      <w:r>
        <w:rPr>
          <w:b/>
          <w:bCs/>
          <w:color w:val="auto"/>
          <w:kern w:val="2"/>
          <w:sz w:val="22"/>
          <w:szCs w:val="22"/>
          <w:lang w:val="el-GR"/>
        </w:rPr>
        <w:t>Ο</w:t>
      </w:r>
      <w:r>
        <w:rPr>
          <w:b/>
          <w:bCs/>
          <w:color w:val="auto"/>
          <w:kern w:val="2"/>
          <w:sz w:val="22"/>
          <w:szCs w:val="22"/>
        </w:rPr>
        <w:t xml:space="preserve"> ΕΡΓΑΣΤ</w:t>
      </w:r>
      <w:r>
        <w:rPr>
          <w:b/>
          <w:bCs/>
          <w:color w:val="auto"/>
          <w:kern w:val="2"/>
          <w:sz w:val="22"/>
          <w:szCs w:val="22"/>
          <w:lang w:val="el-GR"/>
        </w:rPr>
        <w:t>Η</w:t>
      </w:r>
      <w:r>
        <w:rPr>
          <w:b/>
          <w:bCs/>
          <w:color w:val="auto"/>
          <w:kern w:val="2"/>
          <w:sz w:val="22"/>
          <w:szCs w:val="22"/>
        </w:rPr>
        <w:t>ΡΙΟ ΘΕΣΣΑΛΟΝ</w:t>
      </w:r>
      <w:r>
        <w:rPr>
          <w:b/>
          <w:bCs/>
          <w:color w:val="auto"/>
          <w:kern w:val="2"/>
          <w:sz w:val="22"/>
          <w:szCs w:val="22"/>
          <w:lang w:val="el-GR"/>
        </w:rPr>
        <w:t>Ι</w:t>
      </w:r>
      <w:r>
        <w:rPr>
          <w:b/>
          <w:bCs/>
          <w:color w:val="auto"/>
          <w:kern w:val="2"/>
          <w:sz w:val="22"/>
          <w:szCs w:val="22"/>
        </w:rPr>
        <w:t>ΚΗ, ΕΛΛ</w:t>
      </w:r>
      <w:r>
        <w:rPr>
          <w:b/>
          <w:bCs/>
          <w:color w:val="auto"/>
          <w:kern w:val="2"/>
          <w:sz w:val="22"/>
          <w:szCs w:val="22"/>
          <w:lang w:val="el-GR"/>
        </w:rPr>
        <w:t>Α</w:t>
      </w:r>
      <w:r>
        <w:drawing>
          <wp:anchor behindDoc="0" distT="0" distB="0" distL="114300" distR="114300" simplePos="0" locked="0" layoutInCell="1" allowOverlap="1" relativeHeight="11">
            <wp:simplePos x="0" y="0"/>
            <wp:positionH relativeFrom="column">
              <wp:posOffset>-125730</wp:posOffset>
            </wp:positionH>
            <wp:positionV relativeFrom="paragraph">
              <wp:posOffset>373380</wp:posOffset>
            </wp:positionV>
            <wp:extent cx="2446020" cy="3058160"/>
            <wp:effectExtent l="0" t="0" r="0" b="0"/>
            <wp:wrapTight wrapText="bothSides">
              <wp:wrapPolygon edited="0">
                <wp:start x="-81" y="0"/>
                <wp:lineTo x="-81" y="21452"/>
                <wp:lineTo x="21357" y="21452"/>
                <wp:lineTo x="21357" y="0"/>
                <wp:lineTo x="-81" y="0"/>
              </wp:wrapPolygon>
            </wp:wrapTight>
            <wp:docPr id="13" name="Slika 5" descr="Slika, ki vsebuje besede stavba, na prostem, nebo, drevo&#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ka 5" descr="Slika, ki vsebuje besede stavba, na prostem, nebo, drevo&#10;&#10;Vsebina, ustvarjena z umetno inteligenco, morda ni pravilna."/>
                    <pic:cNvPicPr>
                      <a:picLocks noChangeAspect="1" noChangeArrowheads="1"/>
                    </pic:cNvPicPr>
                  </pic:nvPicPr>
                  <pic:blipFill>
                    <a:blip r:embed="rId3"/>
                    <a:stretch>
                      <a:fillRect/>
                    </a:stretch>
                  </pic:blipFill>
                  <pic:spPr bwMode="auto">
                    <a:xfrm>
                      <a:off x="0" y="0"/>
                      <a:ext cx="2446020" cy="3058160"/>
                    </a:xfrm>
                    <a:prstGeom prst="rect">
                      <a:avLst/>
                    </a:prstGeom>
                  </pic:spPr>
                </pic:pic>
              </a:graphicData>
            </a:graphic>
          </wp:anchor>
        </w:drawing>
      </w:r>
      <w:r>
        <w:rPr>
          <w:b/>
          <w:bCs/>
          <w:color w:val="auto"/>
          <w:kern w:val="2"/>
          <w:sz w:val="22"/>
          <w:szCs w:val="22"/>
        </w:rPr>
        <w:t>Δ</w:t>
      </w:r>
      <w:r>
        <w:rPr>
          <w:b/>
          <w:bCs/>
          <w:color w:val="auto"/>
          <w:kern w:val="2"/>
          <w:sz w:val="22"/>
          <w:szCs w:val="22"/>
        </w:rPr>
        <w:t>Α</w:t>
      </w:r>
    </w:p>
    <w:p>
      <w:pPr>
        <w:pStyle w:val="Default"/>
        <w:ind w:left="720" w:hanging="0"/>
        <w:rPr>
          <w:b/>
          <w:b/>
          <w:bCs/>
          <w:color w:val="auto"/>
          <w:kern w:val="2"/>
          <w:sz w:val="22"/>
          <w:szCs w:val="22"/>
          <w:lang w:val="el-GR"/>
        </w:rPr>
      </w:pPr>
      <w:r>
        <w:rPr>
          <w:b/>
          <w:bCs/>
          <w:color w:val="auto"/>
          <w:kern w:val="2"/>
          <w:sz w:val="22"/>
          <w:szCs w:val="22"/>
          <w:lang w:val="el-GR"/>
        </w:rPr>
      </w:r>
    </w:p>
    <w:p>
      <w:pPr>
        <w:pStyle w:val="Default"/>
        <w:jc w:val="both"/>
        <w:rPr>
          <w:rFonts w:eastAsia="Times New Roman"/>
          <w:color w:val="auto"/>
          <w:sz w:val="22"/>
          <w:szCs w:val="22"/>
          <w:lang w:val="el-GR"/>
          <w14:ligatures w14:val="none"/>
        </w:rPr>
      </w:pPr>
      <w:r>
        <w:rPr>
          <w:rFonts w:eastAsia="Times New Roman"/>
          <w:color w:val="auto"/>
          <w:sz w:val="22"/>
          <w:szCs w:val="22"/>
          <w:lang w:val="el-GR"/>
          <w14:ligatures w14:val="none"/>
        </w:rPr>
      </w:r>
    </w:p>
    <w:p>
      <w:pPr>
        <w:pStyle w:val="Default"/>
        <w:jc w:val="both"/>
        <w:rPr>
          <w:rFonts w:eastAsia="Times New Roman"/>
          <w:color w:val="auto"/>
          <w:sz w:val="22"/>
          <w:szCs w:val="22"/>
          <w:lang w:val="el-GR"/>
          <w14:ligatures w14:val="none"/>
        </w:rPr>
      </w:pPr>
      <w:r>
        <w:rPr>
          <w:rFonts w:eastAsia="Times New Roman"/>
          <w:sz w:val="22"/>
          <w:szCs w:val="22"/>
          <w:lang w:val="el-GR"/>
          <w14:ligatures w14:val="none"/>
        </w:rPr>
        <w:t>Στις 19 και 20 Μαρτίου 2025</w:t>
      </w:r>
      <w:r>
        <w:rPr>
          <w:rFonts w:eastAsia="Times New Roman"/>
          <w:lang w:val="el-GR"/>
          <w14:ligatures w14:val="none"/>
        </w:rPr>
        <w:t xml:space="preserve">, </w:t>
      </w:r>
      <w:r>
        <w:rPr>
          <w:rFonts w:eastAsia="Times New Roman"/>
          <w:sz w:val="22"/>
          <w:szCs w:val="22"/>
          <w:lang w:val="el-GR"/>
          <w14:ligatures w14:val="none"/>
        </w:rPr>
        <w:t xml:space="preserve">οι εταίροι του </w:t>
      </w:r>
      <w:r>
        <w:rPr>
          <w:rFonts w:eastAsia="Times New Roman"/>
          <w:color w:val="auto"/>
          <w:sz w:val="22"/>
          <w:szCs w:val="22"/>
          <w:lang w:val="el-GR"/>
          <w14:ligatures w14:val="none"/>
        </w:rPr>
        <w:t>έργου και οι ενδιαφερόμενοι φορείς θα συναντηθούν στην Ελλάδα. Την πρώτη ημέρα, θα αξιολογηθεί το έργο της πιλοτικής εφαρμογής, με στόχο την ανταλλαγή εμπειριών σε διακρατικό επίπεδο μεταξύ των πιλοτικών έργων, καθώς και την αποτίμηση των πρώτων επισκέψεων καθοδήγησης από ομότιμους (</w:t>
      </w:r>
      <w:r>
        <w:rPr>
          <w:rFonts w:eastAsia="Times New Roman"/>
          <w:color w:val="auto"/>
          <w:sz w:val="22"/>
          <w:szCs w:val="22"/>
          <w:lang w:val="en-GB"/>
          <w14:ligatures w14:val="none"/>
        </w:rPr>
        <w:t>peer</w:t>
      </w:r>
      <w:r>
        <w:rPr>
          <w:rFonts w:eastAsia="Times New Roman"/>
          <w:color w:val="auto"/>
          <w:sz w:val="22"/>
          <w:szCs w:val="22"/>
          <w:lang w:val="el-GR"/>
          <w14:ligatures w14:val="none"/>
        </w:rPr>
        <w:t>-</w:t>
      </w:r>
      <w:r>
        <w:rPr>
          <w:rFonts w:eastAsia="Times New Roman"/>
          <w:color w:val="auto"/>
          <w:sz w:val="22"/>
          <w:szCs w:val="22"/>
          <w:lang w:val="en-GB"/>
          <w14:ligatures w14:val="none"/>
        </w:rPr>
        <w:t>to</w:t>
      </w:r>
      <w:r>
        <w:rPr>
          <w:rFonts w:eastAsia="Times New Roman"/>
          <w:color w:val="auto"/>
          <w:sz w:val="22"/>
          <w:szCs w:val="22"/>
          <w:lang w:val="el-GR"/>
          <w14:ligatures w14:val="none"/>
        </w:rPr>
        <w:t>-</w:t>
      </w:r>
      <w:r>
        <w:rPr>
          <w:rFonts w:eastAsia="Times New Roman"/>
          <w:color w:val="auto"/>
          <w:sz w:val="22"/>
          <w:szCs w:val="22"/>
          <w:lang w:val="en-GB"/>
          <w14:ligatures w14:val="none"/>
        </w:rPr>
        <w:t>peer</w:t>
      </w:r>
      <w:r>
        <w:rPr>
          <w:rFonts w:eastAsia="Times New Roman"/>
          <w:color w:val="auto"/>
          <w:sz w:val="22"/>
          <w:szCs w:val="22"/>
          <w:lang w:val="el-GR"/>
          <w14:ligatures w14:val="none"/>
        </w:rPr>
        <w:t xml:space="preserve"> </w:t>
      </w:r>
      <w:r>
        <w:rPr>
          <w:rFonts w:eastAsia="Times New Roman"/>
          <w:color w:val="auto"/>
          <w:sz w:val="22"/>
          <w:szCs w:val="22"/>
          <w:lang w:val="en-GB"/>
          <w14:ligatures w14:val="none"/>
        </w:rPr>
        <w:t>mentoring</w:t>
      </w:r>
      <w:r>
        <w:rPr>
          <w:rFonts w:eastAsia="Times New Roman"/>
          <w:color w:val="auto"/>
          <w:sz w:val="22"/>
          <w:szCs w:val="22"/>
          <w:lang w:val="el-GR"/>
          <w14:ligatures w14:val="none"/>
        </w:rPr>
        <w:t xml:space="preserve">). </w:t>
      </w:r>
    </w:p>
    <w:p>
      <w:pPr>
        <w:pStyle w:val="Default"/>
        <w:jc w:val="both"/>
        <w:rPr>
          <w:rFonts w:eastAsia="Times New Roman"/>
          <w:sz w:val="22"/>
          <w:szCs w:val="22"/>
          <w:lang w:val="el-GR"/>
          <w14:ligatures w14:val="none"/>
        </w:rPr>
      </w:pPr>
      <w:r>
        <w:rPr>
          <w:rFonts w:eastAsia="Times New Roman"/>
          <w:color w:val="auto"/>
          <w:sz w:val="22"/>
          <w:szCs w:val="22"/>
          <w:lang w:val="el-GR"/>
          <w14:ligatures w14:val="none"/>
        </w:rPr>
        <w:t>Η συζήτηση της δεύτερης ημέρας θα επικεντρωθεί σε παραδείγματα προγραμμάτων εκπαίδευσης και καθοδήγησης για τη συμμετοχική χρηματοδότηση, σε εκστρατείες</w:t>
      </w:r>
      <w:r>
        <w:rPr>
          <w:rFonts w:eastAsia="Times New Roman"/>
          <w:sz w:val="22"/>
          <w:szCs w:val="22"/>
          <w:lang w:val="el-GR"/>
          <w14:ligatures w14:val="none"/>
        </w:rPr>
        <w:t xml:space="preserve"> ευαισθητοποίησης και προώθησης, καθώς και στη</w:t>
      </w:r>
      <w:r>
        <w:rPr>
          <w:rFonts w:eastAsia="Times New Roman"/>
          <w:color w:val="auto"/>
          <w:sz w:val="22"/>
          <w:szCs w:val="22"/>
          <w:lang w:val="el-GR"/>
          <w14:ligatures w14:val="none"/>
        </w:rPr>
        <w:t xml:space="preserve"> συμμετοχική χρηματοδότηση</w:t>
      </w:r>
      <w:r>
        <w:rPr>
          <w:rFonts w:eastAsia="Times New Roman"/>
          <w:sz w:val="22"/>
          <w:szCs w:val="22"/>
          <w:lang w:val="el-GR"/>
          <w14:ligatures w14:val="none"/>
        </w:rPr>
        <w:t xml:space="preserve"> με μετοχικό κεφάλαιο (</w:t>
      </w:r>
      <w:r>
        <w:rPr>
          <w:rFonts w:eastAsia="Times New Roman"/>
          <w:sz w:val="22"/>
          <w:szCs w:val="22"/>
          <w:lang w:val="en-US"/>
          <w14:ligatures w14:val="none"/>
        </w:rPr>
        <w:t>equity</w:t>
      </w:r>
      <w:r>
        <w:rPr>
          <w:rFonts w:eastAsia="Times New Roman"/>
          <w:sz w:val="22"/>
          <w:szCs w:val="22"/>
          <w:lang w:val="el-GR"/>
          <w14:ligatures w14:val="none"/>
        </w:rPr>
        <w:t xml:space="preserve"> </w:t>
      </w:r>
      <w:r>
        <w:rPr>
          <w:rFonts w:eastAsia="Times New Roman"/>
          <w:sz w:val="22"/>
          <w:szCs w:val="22"/>
          <w:lang w:val="en-US"/>
          <w14:ligatures w14:val="none"/>
        </w:rPr>
        <w:t>crowdfunding</w:t>
      </w:r>
      <w:r>
        <w:rPr>
          <w:rFonts w:eastAsia="Times New Roman"/>
          <w:sz w:val="22"/>
          <w:szCs w:val="22"/>
          <w:lang w:val="el-GR"/>
          <w14:ligatures w14:val="none"/>
        </w:rPr>
        <w:t>).</w:t>
      </w:r>
    </w:p>
    <w:p>
      <w:pPr>
        <w:pStyle w:val="Default"/>
        <w:jc w:val="both"/>
        <w:rPr>
          <w:b/>
          <w:b/>
          <w:bCs/>
          <w:color w:val="auto"/>
          <w:kern w:val="2"/>
          <w:sz w:val="22"/>
          <w:szCs w:val="22"/>
          <w:lang w:val="el-GR"/>
        </w:rPr>
      </w:pPr>
      <w:r>
        <w:rPr>
          <w:b/>
          <w:bCs/>
          <w:i/>
          <w:iCs/>
          <w:color w:val="auto"/>
          <w:kern w:val="2"/>
          <w:sz w:val="20"/>
          <w:szCs w:val="20"/>
        </w:rPr>
        <w:t>Πηγή φωτογραφίας: Δωρεάν φωτογραφίες από το Unsplash, από την Nafsika G.</w:t>
      </w:r>
    </w:p>
    <w:p>
      <w:pPr>
        <w:pStyle w:val="Normal"/>
        <w:rPr>
          <w:rFonts w:ascii="Open Sans" w:hAnsi="Open Sans" w:cs="Open Sans"/>
          <w:b/>
          <w:b/>
          <w:bCs/>
          <w:i/>
          <w:i/>
          <w:iCs/>
          <w:color w:val="00A984"/>
          <w:sz w:val="28"/>
          <w:szCs w:val="28"/>
          <w:u w:val="single"/>
          <w:lang w:val="en-US"/>
        </w:rPr>
      </w:pPr>
      <w:r>
        <w:rPr>
          <w:rFonts w:cs="Open Sans" w:ascii="Open Sans" w:hAnsi="Open Sans"/>
          <w:b/>
          <w:bCs/>
          <w:i/>
          <w:iCs/>
          <w:color w:val="00A984"/>
          <w:sz w:val="28"/>
          <w:szCs w:val="28"/>
          <w:u w:val="single"/>
          <w:lang w:val="en-US"/>
        </w:rPr>
      </w:r>
    </w:p>
    <w:p>
      <w:pPr>
        <w:pStyle w:val="Normal"/>
        <w:rPr>
          <w:rFonts w:ascii="Open Sans" w:hAnsi="Open Sans" w:cs="Open Sans"/>
          <w:b/>
          <w:b/>
          <w:bCs/>
          <w:i/>
          <w:i/>
          <w:iCs/>
          <w:color w:val="00A984"/>
          <w:sz w:val="28"/>
          <w:szCs w:val="28"/>
          <w:u w:val="single"/>
          <w:lang w:val="en-US"/>
        </w:rPr>
      </w:pPr>
      <w:r>
        <w:rPr>
          <w:rFonts w:cs="Open Sans" w:ascii="Open Sans" w:hAnsi="Open Sans"/>
          <w:b/>
          <w:bCs/>
          <w:i/>
          <w:iCs/>
          <w:color w:val="00A984"/>
          <w:sz w:val="28"/>
          <w:szCs w:val="28"/>
          <w:u w:val="single"/>
          <w:lang w:val="en-US"/>
        </w:rPr>
      </w:r>
    </w:p>
    <w:p>
      <w:pPr>
        <w:pStyle w:val="Normal"/>
        <w:rPr>
          <w:rFonts w:ascii="Open Sans" w:hAnsi="Open Sans" w:cs="Open Sans"/>
          <w:b/>
          <w:b/>
          <w:bCs/>
          <w:i/>
          <w:i/>
          <w:iCs/>
          <w:color w:val="00A984"/>
          <w:sz w:val="28"/>
          <w:szCs w:val="28"/>
          <w:u w:val="single"/>
          <w:lang w:val="en-US"/>
        </w:rPr>
      </w:pPr>
      <w:r>
        <w:rPr>
          <w:rFonts w:cs="Open Sans" w:ascii="Open Sans" w:hAnsi="Open Sans"/>
          <w:b/>
          <w:bCs/>
          <w:i/>
          <w:iCs/>
          <w:color w:val="00A984"/>
          <w:sz w:val="28"/>
          <w:szCs w:val="28"/>
          <w:u w:val="single"/>
          <w:lang w:val="en-US"/>
        </w:rPr>
      </w:r>
    </w:p>
    <w:p>
      <w:pPr>
        <w:pStyle w:val="Normal"/>
        <w:jc w:val="both"/>
        <w:rPr>
          <w:rFonts w:ascii="Open Sans" w:hAnsi="Open Sans" w:cs="Open Sans"/>
          <w:b/>
          <w:b/>
          <w:bCs/>
          <w:i/>
          <w:i/>
          <w:iCs/>
          <w:color w:val="00A984"/>
          <w:sz w:val="28"/>
          <w:szCs w:val="28"/>
          <w:u w:val="single"/>
          <w:lang w:val="el-GR"/>
        </w:rPr>
      </w:pPr>
      <w:r>
        <w:rPr>
          <w:rFonts w:cs="Open Sans" w:ascii="Open Sans" w:hAnsi="Open Sans"/>
          <w:b/>
          <w:bCs/>
          <w:i/>
          <w:iCs/>
          <w:color w:val="00A984"/>
          <w:sz w:val="28"/>
          <w:szCs w:val="28"/>
          <w:u w:val="single"/>
        </w:rPr>
        <w:t>ΣΑΣ ΠΡΟΣΚΑΛΟ</w:t>
      </w:r>
      <w:r>
        <w:rPr>
          <w:rFonts w:cs="Open Sans" w:ascii="Open Sans" w:hAnsi="Open Sans"/>
          <w:b/>
          <w:bCs/>
          <w:i/>
          <w:iCs/>
          <w:color w:val="00A984"/>
          <w:sz w:val="28"/>
          <w:szCs w:val="28"/>
          <w:u w:val="single"/>
          <w:lang w:val="el-GR"/>
        </w:rPr>
        <w:t>Υ</w:t>
      </w:r>
      <w:r>
        <w:rPr>
          <w:rFonts w:cs="Open Sans" w:ascii="Open Sans" w:hAnsi="Open Sans"/>
          <w:b/>
          <w:bCs/>
          <w:i/>
          <w:iCs/>
          <w:color w:val="00A984"/>
          <w:sz w:val="28"/>
          <w:szCs w:val="28"/>
          <w:u w:val="single"/>
        </w:rPr>
        <w:t>ΜΕ ΝΑ ΜΑΣ ΑΚΟΛΟΥΘ</w:t>
      </w:r>
      <w:r>
        <w:rPr>
          <w:rFonts w:cs="Open Sans" w:ascii="Open Sans" w:hAnsi="Open Sans"/>
          <w:b/>
          <w:bCs/>
          <w:i/>
          <w:iCs/>
          <w:color w:val="00A984"/>
          <w:sz w:val="28"/>
          <w:szCs w:val="28"/>
          <w:u w:val="single"/>
          <w:lang w:val="el-GR"/>
        </w:rPr>
        <w:t>Η</w:t>
      </w:r>
      <w:r>
        <w:rPr>
          <w:rFonts w:cs="Open Sans" w:ascii="Open Sans" w:hAnsi="Open Sans"/>
          <w:b/>
          <w:bCs/>
          <w:i/>
          <w:iCs/>
          <w:color w:val="00A984"/>
          <w:sz w:val="28"/>
          <w:szCs w:val="28"/>
          <w:u w:val="single"/>
        </w:rPr>
        <w:t>ΣΕΤΕ ΣΤΑ ΚΟΙΝΩΝΙΚ</w:t>
      </w:r>
      <w:r>
        <w:rPr>
          <w:rFonts w:cs="Open Sans" w:ascii="Open Sans" w:hAnsi="Open Sans"/>
          <w:b/>
          <w:bCs/>
          <w:i/>
          <w:iCs/>
          <w:color w:val="00A984"/>
          <w:sz w:val="28"/>
          <w:szCs w:val="28"/>
          <w:u w:val="single"/>
          <w:lang w:val="el-GR"/>
        </w:rPr>
        <w:t>Α</w:t>
      </w:r>
      <w:r>
        <w:rPr>
          <w:rFonts w:cs="Open Sans" w:ascii="Open Sans" w:hAnsi="Open Sans"/>
          <w:b/>
          <w:bCs/>
          <w:i/>
          <w:iCs/>
          <w:color w:val="00A984"/>
          <w:sz w:val="28"/>
          <w:szCs w:val="28"/>
          <w:u w:val="single"/>
        </w:rPr>
        <w:t xml:space="preserve"> Δ</w:t>
      </w:r>
      <w:r>
        <w:rPr>
          <w:rFonts w:cs="Open Sans" w:ascii="Open Sans" w:hAnsi="Open Sans"/>
          <w:b/>
          <w:bCs/>
          <w:i/>
          <w:iCs/>
          <w:color w:val="00A984"/>
          <w:sz w:val="28"/>
          <w:szCs w:val="28"/>
          <w:u w:val="single"/>
          <w:lang w:val="el-GR"/>
        </w:rPr>
        <w:t>Ι</w:t>
      </w:r>
      <w:r>
        <w:rPr>
          <w:rFonts w:cs="Open Sans" w:ascii="Open Sans" w:hAnsi="Open Sans"/>
          <w:b/>
          <w:bCs/>
          <w:i/>
          <w:iCs/>
          <w:color w:val="00A984"/>
          <w:sz w:val="28"/>
          <w:szCs w:val="28"/>
          <w:u w:val="single"/>
        </w:rPr>
        <w:t xml:space="preserve">ΚΤΥΑ ΤΟΥ </w:t>
      </w:r>
      <w:r>
        <w:rPr>
          <w:rFonts w:cs="Open Sans" w:ascii="Open Sans" w:hAnsi="Open Sans"/>
          <w:b/>
          <w:bCs/>
          <w:i/>
          <w:iCs/>
          <w:color w:val="00A984"/>
          <w:sz w:val="28"/>
          <w:szCs w:val="28"/>
          <w:u w:val="single"/>
          <w:lang w:val="el-GR"/>
        </w:rPr>
        <w:t>Ε</w:t>
      </w:r>
      <w:r>
        <w:rPr>
          <w:rFonts w:cs="Open Sans" w:ascii="Open Sans" w:hAnsi="Open Sans"/>
          <w:b/>
          <w:bCs/>
          <w:i/>
          <w:iCs/>
          <w:color w:val="00A984"/>
          <w:sz w:val="28"/>
          <w:szCs w:val="28"/>
          <w:u w:val="single"/>
        </w:rPr>
        <w:t>ΡΓΟΥ</w:t>
      </w:r>
    </w:p>
    <w:tbl>
      <w:tblPr>
        <w:tblStyle w:val="a5"/>
        <w:tblW w:w="9062" w:type="dxa"/>
        <w:jc w:val="left"/>
        <w:tblInd w:w="0" w:type="dxa"/>
        <w:tblCellMar>
          <w:top w:w="0" w:type="dxa"/>
          <w:left w:w="108" w:type="dxa"/>
          <w:bottom w:w="0" w:type="dxa"/>
          <w:right w:w="108" w:type="dxa"/>
        </w:tblCellMar>
        <w:tblLook w:firstRow="1" w:noVBand="1" w:lastRow="0" w:firstColumn="1" w:lastColumn="0" w:noHBand="0" w:val="04a0"/>
      </w:tblPr>
      <w:tblGrid>
        <w:gridCol w:w="2120"/>
        <w:gridCol w:w="6941"/>
      </w:tblGrid>
      <w:tr>
        <w:trPr/>
        <w:tc>
          <w:tcPr>
            <w:tcW w:w="2120" w:type="dxa"/>
            <w:tcBorders>
              <w:top w:val="nil"/>
              <w:left w:val="nil"/>
              <w:bottom w:val="nil"/>
              <w:right w:val="nil"/>
            </w:tcBorders>
            <w:shd w:fill="auto" w:val="clear"/>
            <w:vAlign w:val="center"/>
          </w:tcPr>
          <w:p>
            <w:pPr>
              <w:pStyle w:val="Normal"/>
              <w:spacing w:lineRule="auto" w:line="240" w:before="0" w:after="0"/>
              <w:jc w:val="center"/>
              <w:rPr>
                <w:rFonts w:ascii="Open Sans" w:hAnsi="Open Sans" w:cs="Open Sans"/>
                <w:lang w:val="en-GB"/>
              </w:rPr>
            </w:pPr>
            <w:r>
              <w:rPr/>
              <w:drawing>
                <wp:inline distT="0" distB="0" distL="0" distR="0">
                  <wp:extent cx="255905" cy="255905"/>
                  <wp:effectExtent l="0" t="0" r="0" b="0"/>
                  <wp:docPr id="14" name="Slika 14893993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ka 1489399392" descr=""/>
                          <pic:cNvPicPr>
                            <a:picLocks noChangeAspect="1" noChangeArrowheads="1"/>
                          </pic:cNvPicPr>
                        </pic:nvPicPr>
                        <pic:blipFill>
                          <a:blip r:embed="rId4"/>
                          <a:stretch>
                            <a:fillRect/>
                          </a:stretch>
                        </pic:blipFill>
                        <pic:spPr bwMode="auto">
                          <a:xfrm>
                            <a:off x="0" y="0"/>
                            <a:ext cx="255905" cy="255905"/>
                          </a:xfrm>
                          <a:prstGeom prst="rect">
                            <a:avLst/>
                          </a:prstGeom>
                        </pic:spPr>
                      </pic:pic>
                    </a:graphicData>
                  </a:graphic>
                </wp:inline>
              </w:drawing>
            </w:r>
          </w:p>
        </w:tc>
        <w:tc>
          <w:tcPr>
            <w:tcW w:w="6941" w:type="dxa"/>
            <w:tcBorders>
              <w:top w:val="nil"/>
              <w:left w:val="nil"/>
              <w:bottom w:val="nil"/>
              <w:right w:val="nil"/>
            </w:tcBorders>
            <w:shd w:fill="auto" w:val="clear"/>
            <w:vAlign w:val="center"/>
          </w:tcPr>
          <w:p>
            <w:pPr>
              <w:pStyle w:val="Normal"/>
              <w:spacing w:lineRule="auto" w:line="240" w:before="0" w:after="0"/>
              <w:rPr/>
            </w:pPr>
            <w:hyperlink r:id="rId5">
              <w:r>
                <w:rPr>
                  <w:rStyle w:val="Style15"/>
                  <w:rFonts w:eastAsia="Times New Roman" w:cs="Open Sans" w:ascii="Open Sans" w:hAnsi="Open Sans"/>
                  <w:sz w:val="20"/>
                  <w:szCs w:val="20"/>
                  <w:lang w:val="en-GB"/>
                </w:rPr>
                <w:t>https://www.interregeurope.eu/crowdfundmatch</w:t>
              </w:r>
            </w:hyperlink>
          </w:p>
          <w:p>
            <w:pPr>
              <w:pStyle w:val="Normal"/>
              <w:spacing w:lineRule="auto" w:line="240" w:before="0" w:after="0"/>
              <w:rPr>
                <w:rFonts w:ascii="Open Sans" w:hAnsi="Open Sans" w:cs="Open Sans"/>
                <w:lang w:val="en-GB"/>
              </w:rPr>
            </w:pPr>
            <w:r>
              <w:rPr>
                <w:rFonts w:cs="Open Sans" w:ascii="Open Sans" w:hAnsi="Open Sans"/>
                <w:lang w:val="en-GB"/>
              </w:rPr>
            </w:r>
          </w:p>
        </w:tc>
      </w:tr>
      <w:tr>
        <w:trPr/>
        <w:tc>
          <w:tcPr>
            <w:tcW w:w="2120" w:type="dxa"/>
            <w:tcBorders>
              <w:top w:val="nil"/>
              <w:left w:val="nil"/>
              <w:bottom w:val="nil"/>
              <w:right w:val="nil"/>
            </w:tcBorders>
            <w:shd w:fill="auto" w:val="clear"/>
            <w:vAlign w:val="center"/>
          </w:tcPr>
          <w:p>
            <w:pPr>
              <w:pStyle w:val="Normal"/>
              <w:spacing w:lineRule="auto" w:line="240" w:before="0" w:after="0"/>
              <w:jc w:val="center"/>
              <w:rPr>
                <w:rFonts w:ascii="Open Sans" w:hAnsi="Open Sans" w:cs="Open Sans"/>
                <w:lang w:val="en-GB"/>
              </w:rPr>
            </w:pPr>
            <w:r>
              <w:rPr/>
              <mc:AlternateContent>
                <mc:Choice Requires="wps">
                  <w:drawing>
                    <wp:inline distT="0" distB="0" distL="0" distR="0" wp14:anchorId="4DEF4CFB">
                      <wp:extent cx="833755" cy="280670"/>
                      <wp:effectExtent l="0" t="0" r="5715" b="6350"/>
                      <wp:docPr id="15" name="Picture 2"/>
                      <a:graphic xmlns:a="http://schemas.openxmlformats.org/drawingml/2006/main">
                        <a:graphicData uri="http://schemas.openxmlformats.org/drawingml/2006/picture">
                          <pic:pic xmlns:pic="http://schemas.openxmlformats.org/drawingml/2006/picture">
                            <pic:nvPicPr>
                              <pic:cNvPr id="0" name="Picture 2" descr=""/>
                              <pic:cNvPicPr/>
                            </pic:nvPicPr>
                            <pic:blipFill>
                              <a:blip r:embed="rId6">
                                <a:extLst>
                                  <a:ext uri="{BEBA8EAE-BF5A-486C-A8C5-ECC9F3942E4B}">
                                    <a14:imgProps xmlns:a14="http://schemas.microsoft.com/office/drawing/2010/main">
                                      <a14:imgLayer r:embed="rId7">
                                        <a14:imgEffect>
                                          <a14:saturation sat="33000"/>
                                        </a14:imgEffect>
                                      </a14:imgLayer>
                                    </a14:imgProps>
                                  </a:ext>
                                </a:extLst>
                              </a:blip>
                              <a:stretch/>
                            </pic:blipFill>
                            <pic:spPr>
                              <a:xfrm>
                                <a:off x="0" y="0"/>
                                <a:ext cx="833040" cy="280080"/>
                              </a:xfrm>
                              <a:prstGeom prst="rect">
                                <a:avLst/>
                              </a:prstGeom>
                              <a:ln>
                                <a:noFill/>
                              </a:ln>
                            </pic:spPr>
                          </pic:pic>
                        </a:graphicData>
                      </a:graphic>
                    </wp:inline>
                  </w:drawing>
                </mc:Choice>
                <mc:Fallback>
                  <w:pict>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Picture 2" stroked="f" style="position:absolute;margin-left:0pt;margin-top:-22.1pt;width:65.55pt;height:22pt;mso-position-vertical:top" wp14:anchorId="4DEF4CFB" type="shapetype_75">
                      <v:imagedata r:id="rId6" o:detectmouseclick="t"/>
                      <w10:wrap type="none"/>
                      <v:stroke color="#3465a4" joinstyle="round" endcap="flat"/>
                    </v:shape>
                  </w:pict>
                </mc:Fallback>
              </mc:AlternateContent>
            </w:r>
          </w:p>
        </w:tc>
        <w:tc>
          <w:tcPr>
            <w:tcW w:w="6941" w:type="dxa"/>
            <w:tcBorders>
              <w:top w:val="nil"/>
              <w:left w:val="nil"/>
              <w:bottom w:val="nil"/>
              <w:right w:val="nil"/>
            </w:tcBorders>
            <w:shd w:fill="auto" w:val="clear"/>
            <w:vAlign w:val="center"/>
          </w:tcPr>
          <w:p>
            <w:pPr>
              <w:pStyle w:val="Normal"/>
              <w:spacing w:lineRule="auto" w:line="240" w:before="0" w:after="0"/>
              <w:rPr/>
            </w:pPr>
            <w:hyperlink r:id="rId8">
              <w:r>
                <w:rPr>
                  <w:rStyle w:val="Style15"/>
                  <w:rFonts w:eastAsia="Times New Roman" w:cs="Open Sans" w:ascii="Open Sans" w:hAnsi="Open Sans"/>
                  <w:sz w:val="20"/>
                  <w:szCs w:val="20"/>
                  <w:lang w:val="en-GB"/>
                </w:rPr>
                <w:t>https://www.linkedin.com/company/crowd-fund-match/</w:t>
              </w:r>
            </w:hyperlink>
          </w:p>
          <w:p>
            <w:pPr>
              <w:pStyle w:val="Normal"/>
              <w:spacing w:lineRule="auto" w:line="240" w:before="0" w:after="0"/>
              <w:rPr>
                <w:rFonts w:ascii="Open Sans" w:hAnsi="Open Sans" w:cs="Open Sans"/>
                <w:lang w:val="en-GB"/>
              </w:rPr>
            </w:pPr>
            <w:r>
              <w:rPr>
                <w:rFonts w:cs="Open Sans" w:ascii="Open Sans" w:hAnsi="Open Sans"/>
                <w:lang w:val="en-GB"/>
              </w:rPr>
            </w:r>
          </w:p>
        </w:tc>
      </w:tr>
      <w:tr>
        <w:trPr/>
        <w:tc>
          <w:tcPr>
            <w:tcW w:w="2120" w:type="dxa"/>
            <w:tcBorders>
              <w:top w:val="nil"/>
              <w:left w:val="nil"/>
              <w:bottom w:val="nil"/>
              <w:right w:val="nil"/>
            </w:tcBorders>
            <w:shd w:fill="auto" w:val="clear"/>
            <w:vAlign w:val="center"/>
          </w:tcPr>
          <w:p>
            <w:pPr>
              <w:pStyle w:val="Normal"/>
              <w:spacing w:lineRule="auto" w:line="240" w:before="0" w:after="0"/>
              <w:jc w:val="center"/>
              <w:rPr>
                <w:rFonts w:ascii="Open Sans" w:hAnsi="Open Sans" w:cs="Open Sans"/>
                <w:lang w:val="en-GB"/>
              </w:rPr>
            </w:pPr>
            <w:r>
              <w:rPr/>
              <w:drawing>
                <wp:inline distT="0" distB="0" distL="0" distR="0">
                  <wp:extent cx="121920" cy="262255"/>
                  <wp:effectExtent l="0" t="0" r="0" b="0"/>
                  <wp:docPr id="16" name="Slika 12262788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lika 1226278832" descr=""/>
                          <pic:cNvPicPr>
                            <a:picLocks noChangeAspect="1" noChangeArrowheads="1"/>
                          </pic:cNvPicPr>
                        </pic:nvPicPr>
                        <pic:blipFill>
                          <a:blip r:embed="rId9"/>
                          <a:stretch>
                            <a:fillRect/>
                          </a:stretch>
                        </pic:blipFill>
                        <pic:spPr bwMode="auto">
                          <a:xfrm>
                            <a:off x="0" y="0"/>
                            <a:ext cx="121920" cy="262255"/>
                          </a:xfrm>
                          <a:prstGeom prst="rect">
                            <a:avLst/>
                          </a:prstGeom>
                        </pic:spPr>
                      </pic:pic>
                    </a:graphicData>
                  </a:graphic>
                </wp:inline>
              </w:drawing>
            </w:r>
          </w:p>
        </w:tc>
        <w:tc>
          <w:tcPr>
            <w:tcW w:w="6941" w:type="dxa"/>
            <w:tcBorders>
              <w:top w:val="nil"/>
              <w:left w:val="nil"/>
              <w:bottom w:val="nil"/>
              <w:right w:val="nil"/>
            </w:tcBorders>
            <w:shd w:fill="auto" w:val="clear"/>
            <w:vAlign w:val="center"/>
          </w:tcPr>
          <w:p>
            <w:pPr>
              <w:pStyle w:val="Normal"/>
              <w:spacing w:lineRule="auto" w:line="240" w:before="0" w:after="0"/>
              <w:rPr/>
            </w:pPr>
            <w:hyperlink r:id="rId10">
              <w:r>
                <w:rPr>
                  <w:rStyle w:val="Style15"/>
                  <w:rFonts w:eastAsia="Times New Roman" w:cs="Open Sans" w:ascii="Open Sans" w:hAnsi="Open Sans"/>
                  <w:sz w:val="20"/>
                  <w:szCs w:val="20"/>
                  <w:lang w:val="en-GB"/>
                </w:rPr>
                <w:t>https://www.facebook.com/CROWDFUNDMATCH</w:t>
              </w:r>
            </w:hyperlink>
          </w:p>
          <w:p>
            <w:pPr>
              <w:pStyle w:val="Normal"/>
              <w:spacing w:lineRule="auto" w:line="240" w:before="0" w:after="0"/>
              <w:rPr>
                <w:rFonts w:ascii="Open Sans" w:hAnsi="Open Sans" w:cs="Open Sans"/>
                <w:lang w:val="en-GB"/>
              </w:rPr>
            </w:pPr>
            <w:r>
              <w:rPr>
                <w:rFonts w:cs="Open Sans" w:ascii="Open Sans" w:hAnsi="Open Sans"/>
                <w:lang w:val="en-GB"/>
              </w:rPr>
            </w:r>
          </w:p>
        </w:tc>
      </w:tr>
      <w:tr>
        <w:trPr/>
        <w:tc>
          <w:tcPr>
            <w:tcW w:w="2120" w:type="dxa"/>
            <w:tcBorders>
              <w:top w:val="nil"/>
              <w:left w:val="nil"/>
              <w:bottom w:val="nil"/>
              <w:right w:val="nil"/>
            </w:tcBorders>
            <w:shd w:fill="auto" w:val="clear"/>
            <w:vAlign w:val="center"/>
          </w:tcPr>
          <w:p>
            <w:pPr>
              <w:pStyle w:val="Normal"/>
              <w:spacing w:lineRule="auto" w:line="240" w:before="0" w:after="0"/>
              <w:jc w:val="center"/>
              <w:rPr>
                <w:rFonts w:ascii="Open Sans" w:hAnsi="Open Sans" w:cs="Open Sans"/>
                <w:lang w:val="en-GB"/>
              </w:rPr>
            </w:pPr>
            <w:r>
              <w:rPr/>
              <w:drawing>
                <wp:inline distT="0" distB="0" distL="0" distR="0">
                  <wp:extent cx="262255" cy="201295"/>
                  <wp:effectExtent l="0" t="0" r="0" b="0"/>
                  <wp:docPr id="17" name="Slika 15774522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lika 1577452226" descr=""/>
                          <pic:cNvPicPr>
                            <a:picLocks noChangeAspect="1" noChangeArrowheads="1"/>
                          </pic:cNvPicPr>
                        </pic:nvPicPr>
                        <pic:blipFill>
                          <a:blip r:embed="rId11"/>
                          <a:stretch>
                            <a:fillRect/>
                          </a:stretch>
                        </pic:blipFill>
                        <pic:spPr bwMode="auto">
                          <a:xfrm>
                            <a:off x="0" y="0"/>
                            <a:ext cx="262255" cy="201295"/>
                          </a:xfrm>
                          <a:prstGeom prst="rect">
                            <a:avLst/>
                          </a:prstGeom>
                        </pic:spPr>
                      </pic:pic>
                    </a:graphicData>
                  </a:graphic>
                </wp:inline>
              </w:drawing>
            </w:r>
          </w:p>
        </w:tc>
        <w:tc>
          <w:tcPr>
            <w:tcW w:w="6941" w:type="dxa"/>
            <w:tcBorders>
              <w:top w:val="nil"/>
              <w:left w:val="nil"/>
              <w:bottom w:val="nil"/>
              <w:right w:val="nil"/>
            </w:tcBorders>
            <w:shd w:fill="auto" w:val="clear"/>
            <w:vAlign w:val="center"/>
          </w:tcPr>
          <w:p>
            <w:pPr>
              <w:pStyle w:val="Normal"/>
              <w:spacing w:lineRule="auto" w:line="240" w:before="0" w:after="0"/>
              <w:rPr/>
            </w:pPr>
            <w:hyperlink r:id="rId12">
              <w:r>
                <w:rPr>
                  <w:rStyle w:val="Style15"/>
                  <w:rFonts w:eastAsia="Times New Roman" w:cs="Open Sans" w:ascii="Open Sans" w:hAnsi="Open Sans"/>
                  <w:sz w:val="20"/>
                  <w:szCs w:val="20"/>
                  <w:lang w:val="en-GB"/>
                </w:rPr>
                <w:t>https://twitter.com/crowdfundmatch</w:t>
              </w:r>
            </w:hyperlink>
          </w:p>
          <w:p>
            <w:pPr>
              <w:pStyle w:val="Normal"/>
              <w:spacing w:lineRule="auto" w:line="240" w:before="0" w:after="0"/>
              <w:rPr>
                <w:rFonts w:ascii="Open Sans" w:hAnsi="Open Sans" w:cs="Open Sans"/>
                <w:lang w:val="en-GB"/>
              </w:rPr>
            </w:pPr>
            <w:r>
              <w:rPr>
                <w:rFonts w:cs="Open Sans" w:ascii="Open Sans" w:hAnsi="Open Sans"/>
                <w:lang w:val="en-GB"/>
              </w:rPr>
            </w:r>
          </w:p>
        </w:tc>
      </w:tr>
    </w:tbl>
    <w:p>
      <w:pPr>
        <w:pStyle w:val="Normal"/>
        <w:spacing w:before="0" w:after="160"/>
        <w:rPr/>
      </w:pPr>
      <w:r>
        <w:rPr/>
      </w:r>
    </w:p>
    <w:sectPr>
      <w:headerReference w:type="default" r:id="rId13"/>
      <w:footerReference w:type="default" r:id="rId14"/>
      <w:footnotePr>
        <w:numFmt w:val="decimal"/>
      </w:footnotePr>
      <w:type w:val="nextPage"/>
      <w:pgSz w:w="11906" w:h="16838"/>
      <w:pgMar w:left="1416" w:right="1416" w:header="708" w:top="1417" w:footer="708" w:bottom="1417" w:gutter="0"/>
      <w:pgBorders w:display="allPages" w:offsetFrom="page">
        <w:top w:val="single" w:sz="4" w:space="24" w:color="00A984"/>
        <w:left w:val="single" w:sz="4" w:space="24" w:color="00A984"/>
        <w:bottom w:val="single" w:sz="4" w:space="24" w:color="00A984"/>
        <w:right w:val="single" w:sz="4" w:space="24" w:color="00A984"/>
      </w:pgBorders>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a1"/>
    <w:family w:val="roman"/>
    <w:pitch w:val="variable"/>
  </w:font>
  <w:font w:name="Calibri">
    <w:charset w:val="a1"/>
    <w:family w:val="roman"/>
    <w:pitch w:val="variable"/>
  </w:font>
  <w:font w:name="Open Sans">
    <w:charset w:val="a1"/>
    <w:family w:val="roman"/>
    <w:pitch w:val="variable"/>
  </w:font>
  <w:font w:name="Liberation Sans">
    <w:altName w:val="Arial"/>
    <w:charset w:val="a1"/>
    <w:family w:val="roman"/>
    <w:pitch w:val="variable"/>
  </w:font>
  <w:font w:name="Open Sans">
    <w:charset w:val="a1"/>
    <w:family w:val="auto"/>
    <w:pitch w:val="default"/>
  </w:font>
  <w:font w:name="Wingdings">
    <w:charset w:val="02"/>
    <w:family w:val="auto"/>
    <w:pitch w:val="variable"/>
  </w:font>
  <w:font w:name="Courier New">
    <w:charset w:val="01"/>
    <w:family w:val="modern"/>
    <w:pitch w:val="fixed"/>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26"/>
      <w:rPr/>
    </w:pPr>
    <w:r>
      <w:rPr/>
    </w:r>
  </w:p>
  <w:p>
    <w:pPr>
      <w:pStyle w:val="Style26"/>
      <w:rPr/>
    </w:pPr>
    <w:r>
      <w:rPr/>
    </w:r>
  </w:p>
  <w:p>
    <w:pPr>
      <w:pStyle w:val="Style26"/>
      <w:jc w:val="center"/>
      <w:rPr>
        <w:rFonts w:ascii="Open Sans" w:hAnsi="Open Sans" w:cs="Open Sans"/>
        <w:b/>
        <w:b/>
        <w:bCs/>
        <w:color w:val="00A984"/>
        <w:sz w:val="18"/>
        <w:szCs w:val="18"/>
        <w:lang w:val="el-GR"/>
      </w:rPr>
    </w:pPr>
    <w:r>
      <w:rPr>
        <w:rFonts w:cs="Open Sans" w:ascii="Open Sans" w:hAnsi="Open Sans"/>
        <w:b/>
        <w:bCs/>
        <w:color w:val="00A984"/>
        <w:sz w:val="18"/>
        <w:szCs w:val="18"/>
        <w:lang w:val="el-GR"/>
      </w:rPr>
      <w:t>ΗΛΕΚΤΡΟΝΙΚΟ ΕΝΗΜΕΡΩΤΙΚΟ ΔΕΛΤΙΟ</w:t>
    </w:r>
    <w:r>
      <w:rPr>
        <w:rFonts w:cs="Open Sans" w:ascii="Open Sans" w:hAnsi="Open Sans"/>
        <w:b/>
        <w:bCs/>
        <w:color w:val="00A984"/>
        <w:sz w:val="18"/>
        <w:szCs w:val="18"/>
      </w:rPr>
      <w:t xml:space="preserve"> </w:t>
    </w:r>
    <w:r>
      <w:rPr>
        <w:rFonts w:cs="Open Sans" w:ascii="Open Sans" w:hAnsi="Open Sans"/>
        <w:b/>
        <w:bCs/>
        <w:color w:val="00A984"/>
        <w:sz w:val="18"/>
        <w:szCs w:val="18"/>
        <w:lang w:val="el-GR"/>
      </w:rPr>
      <w:t>3</w:t>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Style27"/>
        <w:jc w:val="both"/>
        <w:rPr>
          <w:rFonts w:ascii="Open Sans" w:hAnsi="Open Sans" w:cs="Open Sans"/>
          <w:sz w:val="18"/>
          <w:szCs w:val="18"/>
          <w:lang w:val="el-GR"/>
        </w:rPr>
      </w:pPr>
      <w:r>
        <w:rPr>
          <w:rStyle w:val="Style16"/>
        </w:rPr>
        <w:footnoteRef/>
      </w:r>
      <w:r>
        <w:rPr>
          <w:rFonts w:cs="Open Sans" w:ascii="Open Sans" w:hAnsi="Open Sans"/>
          <w:sz w:val="18"/>
          <w:szCs w:val="18"/>
        </w:rPr>
        <w:t xml:space="preserve"> </w:t>
      </w:r>
      <w:r>
        <w:rPr>
          <w:rFonts w:cs="Open Sans" w:ascii="Open Sans" w:hAnsi="Open Sans"/>
          <w:sz w:val="18"/>
          <w:szCs w:val="18"/>
          <w:lang w:val="el-GR"/>
        </w:rPr>
        <w:t xml:space="preserve">Η συμμετοχική χρηματοδότηση με μετοχικό κεφάλαιο (γνωστό και ως </w:t>
      </w:r>
      <w:r>
        <w:rPr>
          <w:rFonts w:cs="Open Sans" w:ascii="Open Sans" w:hAnsi="Open Sans"/>
          <w:sz w:val="18"/>
          <w:szCs w:val="18"/>
          <w:lang w:val="en-GB"/>
        </w:rPr>
        <w:t>crowd</w:t>
      </w:r>
      <w:r>
        <w:rPr>
          <w:rFonts w:cs="Open Sans" w:ascii="Open Sans" w:hAnsi="Open Sans"/>
          <w:sz w:val="18"/>
          <w:szCs w:val="18"/>
          <w:lang w:val="el-GR"/>
        </w:rPr>
        <w:t>-</w:t>
      </w:r>
      <w:r>
        <w:rPr>
          <w:rFonts w:cs="Open Sans" w:ascii="Open Sans" w:hAnsi="Open Sans"/>
          <w:sz w:val="18"/>
          <w:szCs w:val="18"/>
          <w:lang w:val="en-GB"/>
        </w:rPr>
        <w:t>investing</w:t>
      </w:r>
      <w:r>
        <w:rPr>
          <w:rFonts w:cs="Open Sans" w:ascii="Open Sans" w:hAnsi="Open Sans"/>
          <w:sz w:val="18"/>
          <w:szCs w:val="18"/>
          <w:lang w:val="el-GR"/>
        </w:rPr>
        <w:t xml:space="preserve"> ή </w:t>
      </w:r>
      <w:r>
        <w:rPr>
          <w:rFonts w:cs="Open Sans" w:ascii="Open Sans" w:hAnsi="Open Sans"/>
          <w:sz w:val="18"/>
          <w:szCs w:val="18"/>
          <w:lang w:val="en-GB"/>
        </w:rPr>
        <w:t>investment</w:t>
      </w:r>
      <w:r>
        <w:rPr>
          <w:rFonts w:cs="Open Sans" w:ascii="Open Sans" w:hAnsi="Open Sans"/>
          <w:sz w:val="18"/>
          <w:szCs w:val="18"/>
          <w:lang w:val="el-GR"/>
        </w:rPr>
        <w:t xml:space="preserve"> </w:t>
      </w:r>
      <w:r>
        <w:rPr>
          <w:rFonts w:cs="Open Sans" w:ascii="Open Sans" w:hAnsi="Open Sans"/>
          <w:sz w:val="18"/>
          <w:szCs w:val="18"/>
          <w:lang w:val="en-GB"/>
        </w:rPr>
        <w:t>crowdfunding</w:t>
      </w:r>
      <w:r>
        <w:rPr>
          <w:rFonts w:cs="Open Sans" w:ascii="Open Sans" w:hAnsi="Open Sans"/>
          <w:sz w:val="18"/>
          <w:szCs w:val="18"/>
          <w:lang w:val="el-GR"/>
        </w:rPr>
        <w:t>) είναι μια μέθοδος άντλησης κεφαλαίων που χρησιμοποιείται από νεοφυείς επιχειρήσεις και εταιρείες σε αρχικό στάδιο ανάπτυξης. Ουσιαστικά, το συγκεκριμένο μοντέλο προσφέρει τίτλους συμμετοχής της εταιρείας σε πολλούς πιθανούς επενδυτές με αντάλλαγμα χρηματοδότηση. Κάθε επενδυτής δικαιούται σε ένα μερίδιο της εταιρείας ανάλογο με το ποσό της επένδυσής του. Η διαδικασία της συμμετοχικής χρηματοδότησης πραγματοποιείται μέσω εξειδικευμένων διαδικτυακών πλατφορμών. Ο ψηφιακός χαρακτήρας αυτών των πλατφορμών προάγει έναν πιο ανοιχτό και ευέλικτο τρόπο χρηματοδότησης.</w:t>
      </w:r>
    </w:p>
    <w:p>
      <w:pPr>
        <w:pStyle w:val="Style27"/>
        <w:jc w:val="both"/>
        <w:rPr>
          <w:rFonts w:ascii="Open Sans" w:hAnsi="Open Sans" w:cs="Open Sans"/>
          <w:sz w:val="18"/>
          <w:szCs w:val="18"/>
          <w:lang w:val="el-GR"/>
        </w:rPr>
      </w:pPr>
      <w:r>
        <w:rPr>
          <w:rFonts w:cs="Open Sans" w:ascii="Open Sans" w:hAnsi="Open Sans"/>
          <w:sz w:val="18"/>
          <w:szCs w:val="18"/>
          <w:lang w:val="el-GR"/>
        </w:rPr>
        <w:t xml:space="preserve">Πηγή: </w:t>
      </w:r>
      <w:hyperlink r:id="rId1">
        <w:r>
          <w:rPr>
            <w:rStyle w:val="Style15"/>
            <w:rFonts w:cs="Open Sans" w:ascii="Open Sans" w:hAnsi="Open Sans"/>
            <w:sz w:val="18"/>
            <w:szCs w:val="18"/>
            <w:lang w:val="en-GB"/>
          </w:rPr>
          <w:t>https</w:t>
        </w:r>
        <w:r>
          <w:rPr>
            <w:rStyle w:val="Style15"/>
            <w:rFonts w:cs="Open Sans" w:ascii="Open Sans" w:hAnsi="Open Sans"/>
            <w:sz w:val="18"/>
            <w:szCs w:val="18"/>
            <w:lang w:val="el-GR"/>
          </w:rPr>
          <w:t>://</w:t>
        </w:r>
        <w:r>
          <w:rPr>
            <w:rStyle w:val="Style15"/>
            <w:rFonts w:cs="Open Sans" w:ascii="Open Sans" w:hAnsi="Open Sans"/>
            <w:sz w:val="18"/>
            <w:szCs w:val="18"/>
            <w:lang w:val="en-GB"/>
          </w:rPr>
          <w:t>corporatefinanceinstitute</w:t>
        </w:r>
        <w:r>
          <w:rPr>
            <w:rStyle w:val="Style15"/>
            <w:rFonts w:cs="Open Sans" w:ascii="Open Sans" w:hAnsi="Open Sans"/>
            <w:sz w:val="18"/>
            <w:szCs w:val="18"/>
            <w:lang w:val="el-GR"/>
          </w:rPr>
          <w:t>.</w:t>
        </w:r>
        <w:r>
          <w:rPr>
            <w:rStyle w:val="Style15"/>
            <w:rFonts w:cs="Open Sans" w:ascii="Open Sans" w:hAnsi="Open Sans"/>
            <w:sz w:val="18"/>
            <w:szCs w:val="18"/>
            <w:lang w:val="en-GB"/>
          </w:rPr>
          <w:t>com</w:t>
        </w:r>
        <w:r>
          <w:rPr>
            <w:rStyle w:val="Style15"/>
            <w:rFonts w:cs="Open Sans" w:ascii="Open Sans" w:hAnsi="Open Sans"/>
            <w:sz w:val="18"/>
            <w:szCs w:val="18"/>
            <w:lang w:val="el-GR"/>
          </w:rPr>
          <w:t>/</w:t>
        </w:r>
        <w:r>
          <w:rPr>
            <w:rStyle w:val="Style15"/>
            <w:rFonts w:cs="Open Sans" w:ascii="Open Sans" w:hAnsi="Open Sans"/>
            <w:sz w:val="18"/>
            <w:szCs w:val="18"/>
            <w:lang w:val="en-GB"/>
          </w:rPr>
          <w:t>resources</w:t>
        </w:r>
        <w:r>
          <w:rPr>
            <w:rStyle w:val="Style15"/>
            <w:rFonts w:cs="Open Sans" w:ascii="Open Sans" w:hAnsi="Open Sans"/>
            <w:sz w:val="18"/>
            <w:szCs w:val="18"/>
            <w:lang w:val="el-GR"/>
          </w:rPr>
          <w:t>/</w:t>
        </w:r>
        <w:r>
          <w:rPr>
            <w:rStyle w:val="Style15"/>
            <w:rFonts w:cs="Open Sans" w:ascii="Open Sans" w:hAnsi="Open Sans"/>
            <w:sz w:val="18"/>
            <w:szCs w:val="18"/>
            <w:lang w:val="en-GB"/>
          </w:rPr>
          <w:t>valuation</w:t>
        </w:r>
        <w:r>
          <w:rPr>
            <w:rStyle w:val="Style15"/>
            <w:rFonts w:cs="Open Sans" w:ascii="Open Sans" w:hAnsi="Open Sans"/>
            <w:sz w:val="18"/>
            <w:szCs w:val="18"/>
            <w:lang w:val="el-GR"/>
          </w:rPr>
          <w:t>/</w:t>
        </w:r>
        <w:r>
          <w:rPr>
            <w:rStyle w:val="Style15"/>
            <w:rFonts w:cs="Open Sans" w:ascii="Open Sans" w:hAnsi="Open Sans"/>
            <w:sz w:val="18"/>
            <w:szCs w:val="18"/>
            <w:lang w:val="en-GB"/>
          </w:rPr>
          <w:t>equity</w:t>
        </w:r>
        <w:r>
          <w:rPr>
            <w:rStyle w:val="Style15"/>
            <w:rFonts w:cs="Open Sans" w:ascii="Open Sans" w:hAnsi="Open Sans"/>
            <w:sz w:val="18"/>
            <w:szCs w:val="18"/>
            <w:lang w:val="el-GR"/>
          </w:rPr>
          <w:t>-</w:t>
        </w:r>
        <w:r>
          <w:rPr>
            <w:rStyle w:val="Style15"/>
            <w:rFonts w:cs="Open Sans" w:ascii="Open Sans" w:hAnsi="Open Sans"/>
            <w:sz w:val="18"/>
            <w:szCs w:val="18"/>
            <w:lang w:val="en-GB"/>
          </w:rPr>
          <w:t>crowdfunding</w:t>
        </w:r>
        <w:r>
          <w:rPr>
            <w:rStyle w:val="Style15"/>
            <w:rFonts w:cs="Open Sans" w:ascii="Open Sans" w:hAnsi="Open Sans"/>
            <w:sz w:val="18"/>
            <w:szCs w:val="18"/>
            <w:lang w:val="el-GR"/>
          </w:rPr>
          <w:t>/</w:t>
        </w:r>
      </w:hyperlink>
    </w:p>
    <w:p>
      <w:pPr>
        <w:pStyle w:val="Style27"/>
        <w:rPr/>
      </w:pPr>
      <w:r>
        <w:rPr/>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25"/>
      <w:tabs>
        <w:tab w:val="left" w:pos="293" w:leader="none"/>
        <w:tab w:val="left" w:pos="726" w:leader="none"/>
        <w:tab w:val="center" w:pos="4536" w:leader="none"/>
        <w:tab w:val="right" w:pos="9072" w:leader="none"/>
      </w:tabs>
      <w:jc w:val="right"/>
      <w:rPr/>
    </w:pPr>
    <w:r>
      <w:drawing>
        <wp:anchor behindDoc="1" distT="0" distB="0" distL="0" distR="0" simplePos="0" locked="0" layoutInCell="1" allowOverlap="1" relativeHeight="9">
          <wp:simplePos x="0" y="0"/>
          <wp:positionH relativeFrom="column">
            <wp:posOffset>-899160</wp:posOffset>
          </wp:positionH>
          <wp:positionV relativeFrom="paragraph">
            <wp:posOffset>802640</wp:posOffset>
          </wp:positionV>
          <wp:extent cx="7560310" cy="8983345"/>
          <wp:effectExtent l="0" t="0" r="0" b="0"/>
          <wp:wrapNone/>
          <wp:docPr id="18" name="WordPictureWatermark5264622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ordPictureWatermark526462236" descr=""/>
                  <pic:cNvPicPr>
                    <a:picLocks noChangeAspect="1" noChangeArrowheads="1"/>
                  </pic:cNvPicPr>
                </pic:nvPicPr>
                <pic:blipFill>
                  <a:blip r:embed="rId1"/>
                  <a:stretch>
                    <a:fillRect/>
                  </a:stretch>
                </pic:blipFill>
                <pic:spPr bwMode="auto">
                  <a:xfrm>
                    <a:off x="0" y="0"/>
                    <a:ext cx="7560310" cy="8983345"/>
                  </a:xfrm>
                  <a:prstGeom prst="rect">
                    <a:avLst/>
                  </a:prstGeom>
                </pic:spPr>
              </pic:pic>
            </a:graphicData>
          </a:graphic>
        </wp:anchor>
      </w:drawing>
    </w:r>
    <w:r>
      <w:rPr/>
      <w:tab/>
    </w:r>
    <w:r>
      <w:rPr/>
      <w:tab/>
      <w:t xml:space="preserve">                                                                                </w:t>
    </w:r>
    <w:r>
      <w:rPr/>
      <w:drawing>
        <wp:inline distT="0" distB="0" distL="0" distR="0">
          <wp:extent cx="2063750" cy="740410"/>
          <wp:effectExtent l="0" t="0" r="0" b="0"/>
          <wp:docPr id="19" name="Slika 4" descr="Slika, ki vsebuje besede besedilo, pisava, posnetek zaslona, logotip&#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4" descr="Slika, ki vsebuje besede besedilo, pisava, posnetek zaslona, logotip&#10;&#10;Opis je samodejno ustvarjen"/>
                  <pic:cNvPicPr>
                    <a:picLocks noChangeAspect="1" noChangeArrowheads="1"/>
                  </pic:cNvPicPr>
                </pic:nvPicPr>
                <pic:blipFill>
                  <a:blip r:embed="rId2"/>
                  <a:stretch>
                    <a:fillRect/>
                  </a:stretch>
                </pic:blipFill>
                <pic:spPr bwMode="auto">
                  <a:xfrm>
                    <a:off x="0" y="0"/>
                    <a:ext cx="2063750" cy="740410"/>
                  </a:xfrm>
                  <a:prstGeom prst="rect">
                    <a:avLst/>
                  </a:prstGeom>
                </pic:spPr>
              </pic:pic>
            </a:graphicData>
          </a:graphic>
        </wp:inline>
      </w:drawing>
    </w:r>
    <w:r>
      <w:rPr/>
      <w:t xml:space="preserve">                                    </w:t>
      <w:tab/>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bullet"/>
      <w:lvlText w:val=""/>
      <w:lvlJc w:val="left"/>
      <w:pPr>
        <w:ind w:left="720" w:hanging="360"/>
      </w:pPr>
      <w:rPr>
        <w:rFonts w:ascii="Wingdings" w:hAnsi="Wingdings" w:cs="Wingdings" w:hint="default"/>
        <w:sz w:val="22"/>
        <w:b/>
        <w:rFonts w:cs="Wingdings"/>
        <w:color w:val="7E93A5"/>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2">
    <w:lvl w:ilvl="0">
      <w:start w:val="1"/>
      <w:numFmt w:val="bullet"/>
      <w:lvlText w:val=""/>
      <w:lvlJc w:val="left"/>
      <w:pPr>
        <w:tabs>
          <w:tab w:val="num" w:pos="720"/>
        </w:tabs>
        <w:ind w:left="720" w:hanging="360"/>
      </w:pPr>
      <w:rPr>
        <w:rFonts w:ascii="Symbol" w:hAnsi="Symbol" w:cs="Symbol" w:hint="default"/>
        <w:sz w:val="20"/>
        <w:rFonts w:cs="Symbol"/>
      </w:rPr>
    </w:lvl>
    <w:lvl w:ilvl="1">
      <w:start w:val="1"/>
      <w:numFmt w:val="bullet"/>
      <w:lvlText w:val="o"/>
      <w:lvlJc w:val="left"/>
      <w:pPr>
        <w:tabs>
          <w:tab w:val="num" w:pos="1440"/>
        </w:tabs>
        <w:ind w:left="1440" w:hanging="360"/>
      </w:pPr>
      <w:rPr>
        <w:rFonts w:ascii="Courier New" w:hAnsi="Courier New" w:cs="Courier New" w:hint="default"/>
        <w:sz w:val="20"/>
        <w:b/>
        <w:rFonts w:cs="Courier New"/>
      </w:rPr>
    </w:lvl>
    <w:lvl w:ilvl="2">
      <w:start w:val="1"/>
      <w:numFmt w:val="bullet"/>
      <w:lvlText w:val=""/>
      <w:lvlJc w:val="left"/>
      <w:pPr>
        <w:tabs>
          <w:tab w:val="num" w:pos="2160"/>
        </w:tabs>
        <w:ind w:left="2160" w:hanging="360"/>
      </w:pPr>
      <w:rPr>
        <w:rFonts w:ascii="Wingdings" w:hAnsi="Wingdings" w:cs="Wingdings" w:hint="default"/>
        <w:sz w:val="20"/>
        <w:rFonts w:cs="Wingdings"/>
      </w:rPr>
    </w:lvl>
    <w:lvl w:ilvl="3">
      <w:start w:val="1"/>
      <w:numFmt w:val="bullet"/>
      <w:lvlText w:val=""/>
      <w:lvlJc w:val="left"/>
      <w:pPr>
        <w:tabs>
          <w:tab w:val="num" w:pos="2880"/>
        </w:tabs>
        <w:ind w:left="2880" w:hanging="360"/>
      </w:pPr>
      <w:rPr>
        <w:rFonts w:ascii="Wingdings" w:hAnsi="Wingdings" w:cs="Wingdings" w:hint="default"/>
        <w:sz w:val="20"/>
        <w:rFonts w:cs="Wingdings"/>
      </w:rPr>
    </w:lvl>
    <w:lvl w:ilvl="4">
      <w:start w:val="1"/>
      <w:numFmt w:val="bullet"/>
      <w:lvlText w:val=""/>
      <w:lvlJc w:val="left"/>
      <w:pPr>
        <w:tabs>
          <w:tab w:val="num" w:pos="3600"/>
        </w:tabs>
        <w:ind w:left="3600" w:hanging="360"/>
      </w:pPr>
      <w:rPr>
        <w:rFonts w:ascii="Wingdings" w:hAnsi="Wingdings" w:cs="Wingdings" w:hint="default"/>
        <w:sz w:val="20"/>
        <w:rFonts w:cs="Wingdings"/>
      </w:rPr>
    </w:lvl>
    <w:lvl w:ilvl="5">
      <w:start w:val="1"/>
      <w:numFmt w:val="bullet"/>
      <w:lvlText w:val=""/>
      <w:lvlJc w:val="left"/>
      <w:pPr>
        <w:tabs>
          <w:tab w:val="num" w:pos="4320"/>
        </w:tabs>
        <w:ind w:left="4320" w:hanging="360"/>
      </w:pPr>
      <w:rPr>
        <w:rFonts w:ascii="Wingdings" w:hAnsi="Wingdings" w:cs="Wingdings" w:hint="default"/>
        <w:sz w:val="20"/>
        <w:rFonts w:cs="Wingdings"/>
      </w:rPr>
    </w:lvl>
    <w:lvl w:ilvl="6">
      <w:start w:val="1"/>
      <w:numFmt w:val="bullet"/>
      <w:lvlText w:val=""/>
      <w:lvlJc w:val="left"/>
      <w:pPr>
        <w:tabs>
          <w:tab w:val="num" w:pos="5040"/>
        </w:tabs>
        <w:ind w:left="5040" w:hanging="360"/>
      </w:pPr>
      <w:rPr>
        <w:rFonts w:ascii="Wingdings" w:hAnsi="Wingdings" w:cs="Wingdings" w:hint="default"/>
        <w:sz w:val="20"/>
        <w:rFonts w:cs="Wingdings"/>
      </w:rPr>
    </w:lvl>
    <w:lvl w:ilvl="7">
      <w:start w:val="1"/>
      <w:numFmt w:val="bullet"/>
      <w:lvlText w:val=""/>
      <w:lvlJc w:val="left"/>
      <w:pPr>
        <w:tabs>
          <w:tab w:val="num" w:pos="5760"/>
        </w:tabs>
        <w:ind w:left="5760" w:hanging="360"/>
      </w:pPr>
      <w:rPr>
        <w:rFonts w:ascii="Wingdings" w:hAnsi="Wingdings" w:cs="Wingdings" w:hint="default"/>
        <w:sz w:val="20"/>
        <w:rFonts w:cs="Wingdings"/>
      </w:rPr>
    </w:lvl>
    <w:lvl w:ilvl="8">
      <w:start w:val="1"/>
      <w:numFmt w:val="bullet"/>
      <w:lvlText w:val=""/>
      <w:lvlJc w:val="left"/>
      <w:pPr>
        <w:tabs>
          <w:tab w:val="num" w:pos="6480"/>
        </w:tabs>
        <w:ind w:left="6480" w:hanging="360"/>
      </w:pPr>
      <w:rPr>
        <w:rFonts w:ascii="Wingdings" w:hAnsi="Wingdings" w:cs="Wingdings" w:hint="default"/>
        <w:sz w:val="20"/>
        <w:rFonts w:cs="Wingdings"/>
      </w:rPr>
    </w:lvl>
  </w:abstractNum>
  <w:abstractNum w:abstractNumId="3">
    <w:lvl w:ilvl="0">
      <w:start w:val="1"/>
      <w:numFmt w:val="bullet"/>
      <w:lvlText w:val=""/>
      <w:lvlJc w:val="left"/>
      <w:pPr>
        <w:tabs>
          <w:tab w:val="num" w:pos="720"/>
        </w:tabs>
        <w:ind w:left="720" w:hanging="360"/>
      </w:pPr>
      <w:rPr>
        <w:rFonts w:ascii="Wingdings" w:hAnsi="Wingdings" w:cs="Wingdings" w:hint="default"/>
        <w:sz w:val="18"/>
        <w:rFonts w:cs="Wingdings"/>
      </w:rPr>
    </w:lvl>
    <w:lvl w:ilvl="1">
      <w:start w:val="1"/>
      <w:numFmt w:val="bullet"/>
      <w:lvlText w:val=""/>
      <w:lvlJc w:val="left"/>
      <w:pPr>
        <w:tabs>
          <w:tab w:val="num" w:pos="1440"/>
        </w:tabs>
        <w:ind w:left="1440" w:hanging="360"/>
      </w:pPr>
      <w:rPr>
        <w:rFonts w:ascii="Wingdings" w:hAnsi="Wingdings" w:cs="Wingdings" w:hint="default"/>
        <w:rFonts w:cs="Wingdings"/>
      </w:rPr>
    </w:lvl>
    <w:lvl w:ilvl="2">
      <w:start w:val="1"/>
      <w:numFmt w:val="bullet"/>
      <w:lvlText w:val=""/>
      <w:lvlJc w:val="left"/>
      <w:pPr>
        <w:tabs>
          <w:tab w:val="num" w:pos="2160"/>
        </w:tabs>
        <w:ind w:left="2160" w:hanging="360"/>
      </w:pPr>
      <w:rPr>
        <w:rFonts w:ascii="Wingdings" w:hAnsi="Wingdings" w:cs="Wingdings" w:hint="default"/>
        <w:rFonts w:cs="Wingdings"/>
      </w:rPr>
    </w:lvl>
    <w:lvl w:ilvl="3">
      <w:start w:val="1"/>
      <w:numFmt w:val="bullet"/>
      <w:lvlText w:val=""/>
      <w:lvlJc w:val="left"/>
      <w:pPr>
        <w:tabs>
          <w:tab w:val="num" w:pos="2880"/>
        </w:tabs>
        <w:ind w:left="2880" w:hanging="360"/>
      </w:pPr>
      <w:rPr>
        <w:rFonts w:ascii="Wingdings" w:hAnsi="Wingdings" w:cs="Wingdings" w:hint="default"/>
        <w:rFonts w:cs="Wingdings"/>
      </w:rPr>
    </w:lvl>
    <w:lvl w:ilvl="4">
      <w:start w:val="1"/>
      <w:numFmt w:val="bullet"/>
      <w:lvlText w:val=""/>
      <w:lvlJc w:val="left"/>
      <w:pPr>
        <w:tabs>
          <w:tab w:val="num" w:pos="3600"/>
        </w:tabs>
        <w:ind w:left="3600" w:hanging="360"/>
      </w:pPr>
      <w:rPr>
        <w:rFonts w:ascii="Wingdings" w:hAnsi="Wingdings" w:cs="Wingdings" w:hint="default"/>
        <w:rFonts w:cs="Wingdings"/>
      </w:rPr>
    </w:lvl>
    <w:lvl w:ilvl="5">
      <w:start w:val="1"/>
      <w:numFmt w:val="bullet"/>
      <w:lvlText w:val=""/>
      <w:lvlJc w:val="left"/>
      <w:pPr>
        <w:tabs>
          <w:tab w:val="num" w:pos="4320"/>
        </w:tabs>
        <w:ind w:left="4320" w:hanging="360"/>
      </w:pPr>
      <w:rPr>
        <w:rFonts w:ascii="Wingdings" w:hAnsi="Wingdings" w:cs="Wingdings" w:hint="default"/>
        <w:rFonts w:cs="Wingdings"/>
      </w:rPr>
    </w:lvl>
    <w:lvl w:ilvl="6">
      <w:start w:val="1"/>
      <w:numFmt w:val="bullet"/>
      <w:lvlText w:val=""/>
      <w:lvlJc w:val="left"/>
      <w:pPr>
        <w:tabs>
          <w:tab w:val="num" w:pos="5040"/>
        </w:tabs>
        <w:ind w:left="5040" w:hanging="360"/>
      </w:pPr>
      <w:rPr>
        <w:rFonts w:ascii="Wingdings" w:hAnsi="Wingdings" w:cs="Wingdings" w:hint="default"/>
        <w:rFonts w:cs="Wingdings"/>
      </w:rPr>
    </w:lvl>
    <w:lvl w:ilvl="7">
      <w:start w:val="1"/>
      <w:numFmt w:val="bullet"/>
      <w:lvlText w:val=""/>
      <w:lvlJc w:val="left"/>
      <w:pPr>
        <w:tabs>
          <w:tab w:val="num" w:pos="5760"/>
        </w:tabs>
        <w:ind w:left="5760" w:hanging="360"/>
      </w:pPr>
      <w:rPr>
        <w:rFonts w:ascii="Wingdings" w:hAnsi="Wingdings" w:cs="Wingdings" w:hint="default"/>
        <w:rFonts w:cs="Wingdings"/>
      </w:rPr>
    </w:lvl>
    <w:lvl w:ilvl="8">
      <w:start w:val="1"/>
      <w:numFmt w:val="bullet"/>
      <w:lvlText w:val=""/>
      <w:lvlJc w:val="left"/>
      <w:pPr>
        <w:tabs>
          <w:tab w:val="num" w:pos="6480"/>
        </w:tabs>
        <w:ind w:left="6480" w:hanging="360"/>
      </w:pPr>
      <w:rPr>
        <w:rFonts w:ascii="Wingdings" w:hAnsi="Wingdings" w:cs="Wingdings" w:hint="default"/>
        <w:rFonts w:cs="Wingdings"/>
      </w:rPr>
    </w:lvl>
  </w:abstractNum>
  <w:abstractNum w:abstractNumId="4">
    <w:lvl w:ilvl="0">
      <w:start w:val="1"/>
      <w:numFmt w:val="bullet"/>
      <w:lvlText w:val=""/>
      <w:lvlJc w:val="left"/>
      <w:pPr>
        <w:tabs>
          <w:tab w:val="num" w:pos="720"/>
        </w:tabs>
        <w:ind w:left="720" w:hanging="360"/>
      </w:pPr>
      <w:rPr>
        <w:rFonts w:ascii="Wingdings" w:hAnsi="Wingdings" w:cs="Wingdings" w:hint="default"/>
        <w:sz w:val="18"/>
        <w:rFonts w:cs="Wingdings"/>
      </w:rPr>
    </w:lvl>
    <w:lvl w:ilvl="1">
      <w:start w:val="1"/>
      <w:numFmt w:val="bullet"/>
      <w:lvlText w:val=""/>
      <w:lvlJc w:val="left"/>
      <w:pPr>
        <w:tabs>
          <w:tab w:val="num" w:pos="1440"/>
        </w:tabs>
        <w:ind w:left="1440" w:hanging="360"/>
      </w:pPr>
      <w:rPr>
        <w:rFonts w:ascii="Wingdings" w:hAnsi="Wingdings" w:cs="Wingdings" w:hint="default"/>
        <w:rFonts w:cs="Wingdings"/>
      </w:rPr>
    </w:lvl>
    <w:lvl w:ilvl="2">
      <w:start w:val="1"/>
      <w:numFmt w:val="bullet"/>
      <w:lvlText w:val=""/>
      <w:lvlJc w:val="left"/>
      <w:pPr>
        <w:tabs>
          <w:tab w:val="num" w:pos="2160"/>
        </w:tabs>
        <w:ind w:left="2160" w:hanging="360"/>
      </w:pPr>
      <w:rPr>
        <w:rFonts w:ascii="Wingdings" w:hAnsi="Wingdings" w:cs="Wingdings" w:hint="default"/>
        <w:rFonts w:cs="Wingdings"/>
      </w:rPr>
    </w:lvl>
    <w:lvl w:ilvl="3">
      <w:start w:val="1"/>
      <w:numFmt w:val="bullet"/>
      <w:lvlText w:val=""/>
      <w:lvlJc w:val="left"/>
      <w:pPr>
        <w:tabs>
          <w:tab w:val="num" w:pos="2880"/>
        </w:tabs>
        <w:ind w:left="2880" w:hanging="360"/>
      </w:pPr>
      <w:rPr>
        <w:rFonts w:ascii="Wingdings" w:hAnsi="Wingdings" w:cs="Wingdings" w:hint="default"/>
        <w:rFonts w:cs="Wingdings"/>
      </w:rPr>
    </w:lvl>
    <w:lvl w:ilvl="4">
      <w:start w:val="1"/>
      <w:numFmt w:val="bullet"/>
      <w:lvlText w:val=""/>
      <w:lvlJc w:val="left"/>
      <w:pPr>
        <w:tabs>
          <w:tab w:val="num" w:pos="3600"/>
        </w:tabs>
        <w:ind w:left="3600" w:hanging="360"/>
      </w:pPr>
      <w:rPr>
        <w:rFonts w:ascii="Wingdings" w:hAnsi="Wingdings" w:cs="Wingdings" w:hint="default"/>
        <w:rFonts w:cs="Wingdings"/>
      </w:rPr>
    </w:lvl>
    <w:lvl w:ilvl="5">
      <w:start w:val="1"/>
      <w:numFmt w:val="bullet"/>
      <w:lvlText w:val=""/>
      <w:lvlJc w:val="left"/>
      <w:pPr>
        <w:tabs>
          <w:tab w:val="num" w:pos="4320"/>
        </w:tabs>
        <w:ind w:left="4320" w:hanging="360"/>
      </w:pPr>
      <w:rPr>
        <w:rFonts w:ascii="Wingdings" w:hAnsi="Wingdings" w:cs="Wingdings" w:hint="default"/>
        <w:rFonts w:cs="Wingdings"/>
      </w:rPr>
    </w:lvl>
    <w:lvl w:ilvl="6">
      <w:start w:val="1"/>
      <w:numFmt w:val="bullet"/>
      <w:lvlText w:val=""/>
      <w:lvlJc w:val="left"/>
      <w:pPr>
        <w:tabs>
          <w:tab w:val="num" w:pos="5040"/>
        </w:tabs>
        <w:ind w:left="5040" w:hanging="360"/>
      </w:pPr>
      <w:rPr>
        <w:rFonts w:ascii="Wingdings" w:hAnsi="Wingdings" w:cs="Wingdings" w:hint="default"/>
        <w:rFonts w:cs="Wingdings"/>
      </w:rPr>
    </w:lvl>
    <w:lvl w:ilvl="7">
      <w:start w:val="1"/>
      <w:numFmt w:val="bullet"/>
      <w:lvlText w:val=""/>
      <w:lvlJc w:val="left"/>
      <w:pPr>
        <w:tabs>
          <w:tab w:val="num" w:pos="5760"/>
        </w:tabs>
        <w:ind w:left="5760" w:hanging="360"/>
      </w:pPr>
      <w:rPr>
        <w:rFonts w:ascii="Wingdings" w:hAnsi="Wingdings" w:cs="Wingdings" w:hint="default"/>
        <w:rFonts w:cs="Wingdings"/>
      </w:rPr>
    </w:lvl>
    <w:lvl w:ilvl="8">
      <w:start w:val="1"/>
      <w:numFmt w:val="bullet"/>
      <w:lvlText w:val=""/>
      <w:lvlJc w:val="left"/>
      <w:pPr>
        <w:tabs>
          <w:tab w:val="num" w:pos="6480"/>
        </w:tabs>
        <w:ind w:left="6480" w:hanging="360"/>
      </w:pPr>
      <w:rPr>
        <w:rFonts w:ascii="Wingdings" w:hAnsi="Wingdings" w:cs="Wingdings" w:hint="default"/>
        <w:rFonts w:cs="Wingdings"/>
      </w:rPr>
    </w:lvl>
  </w:abstractNum>
  <w:abstractNum w:abstractNumId="5">
    <w:lvl w:ilvl="0">
      <w:start w:val="1"/>
      <w:numFmt w:val="bullet"/>
      <w:lvlText w:val=""/>
      <w:lvlJc w:val="left"/>
      <w:pPr>
        <w:ind w:left="720" w:hanging="360"/>
      </w:pPr>
      <w:rPr>
        <w:rFonts w:ascii="Symbol" w:hAnsi="Symbol" w:cs="Symbol" w:hint="default"/>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6">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w="http://schemas.openxmlformats.org/wordprocessingml/2006/main">
  <w:zoom w:percent="140"/>
  <w:defaultTabStop w:val="708"/>
  <w:footnotePr>
    <w:numFmt w:val="decimal"/>
    <w:footnote w:id="0"/>
    <w:footnote w:id="1"/>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themeFontLang w:val="sl-SI"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kern w:val="2"/>
        <w:szCs w:val="22"/>
        <w:lang w:val="sl-SI" w:eastAsia="en-US" w:bidi="ar-SA"/>
        <w14:ligatures w14:val="standardContextual"/>
      </w:rPr>
    </w:rPrDefault>
    <w:pPrDefault>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433886"/>
    <w:pPr>
      <w:widowControl/>
      <w:bidi w:val="0"/>
      <w:spacing w:lineRule="auto" w:line="259" w:before="0" w:after="160"/>
      <w:jc w:val="left"/>
    </w:pPr>
    <w:rPr>
      <w:rFonts w:ascii="Calibri" w:hAnsi="Calibri" w:eastAsia="Calibri" w:cs="" w:asciiTheme="minorHAnsi" w:cstheme="minorBidi" w:eastAsiaTheme="minorHAnsi" w:hAnsiTheme="minorHAnsi"/>
      <w:color w:val="auto"/>
      <w:kern w:val="2"/>
      <w:sz w:val="22"/>
      <w:szCs w:val="22"/>
      <w:lang w:val="sl-SI" w:eastAsia="en-US" w:bidi="ar-SA"/>
      <w14:ligatures w14:val="standardContextual"/>
    </w:rPr>
  </w:style>
  <w:style w:type="character" w:styleId="DefaultParagraphFont" w:default="1">
    <w:name w:val="Default Paragraph Font"/>
    <w:uiPriority w:val="1"/>
    <w:semiHidden/>
    <w:unhideWhenUsed/>
    <w:qFormat/>
    <w:rPr/>
  </w:style>
  <w:style w:type="character" w:styleId="Char" w:customStyle="1">
    <w:name w:val="Κεφαλίδα Char"/>
    <w:basedOn w:val="DefaultParagraphFont"/>
    <w:link w:val="a3"/>
    <w:uiPriority w:val="99"/>
    <w:qFormat/>
    <w:rsid w:val="0000272d"/>
    <w:rPr/>
  </w:style>
  <w:style w:type="character" w:styleId="Char1" w:customStyle="1">
    <w:name w:val="Υποσέλιδο Char"/>
    <w:basedOn w:val="DefaultParagraphFont"/>
    <w:link w:val="a4"/>
    <w:uiPriority w:val="99"/>
    <w:qFormat/>
    <w:rsid w:val="0000272d"/>
    <w:rPr/>
  </w:style>
  <w:style w:type="character" w:styleId="TextcrowdfundmatchZnak" w:customStyle="1">
    <w:name w:val="text crowdfundmatch Znak"/>
    <w:basedOn w:val="DefaultParagraphFont"/>
    <w:link w:val="textcrowdfundmatch"/>
    <w:qFormat/>
    <w:rsid w:val="004b519b"/>
    <w:rPr>
      <w:rFonts w:ascii="Open Sans" w:hAnsi="Open Sans" w:cs="Open Sans"/>
      <w:szCs w:val="24"/>
      <w:lang w:val="en-GB"/>
    </w:rPr>
  </w:style>
  <w:style w:type="character" w:styleId="Char2" w:customStyle="1">
    <w:name w:val="Κείμενο υποσημείωσης Char"/>
    <w:basedOn w:val="DefaultParagraphFont"/>
    <w:link w:val="a7"/>
    <w:uiPriority w:val="99"/>
    <w:semiHidden/>
    <w:qFormat/>
    <w:rsid w:val="00400b1f"/>
    <w:rPr>
      <w:sz w:val="20"/>
      <w:szCs w:val="20"/>
    </w:rPr>
  </w:style>
  <w:style w:type="character" w:styleId="Style14">
    <w:name w:val="Αγκίστρωση υποσημείωσης"/>
    <w:rPr>
      <w:vertAlign w:val="superscript"/>
    </w:rPr>
  </w:style>
  <w:style w:type="character" w:styleId="FootnoteCharacters">
    <w:name w:val="Footnote Characters"/>
    <w:basedOn w:val="DefaultParagraphFont"/>
    <w:uiPriority w:val="99"/>
    <w:semiHidden/>
    <w:unhideWhenUsed/>
    <w:qFormat/>
    <w:rsid w:val="00400b1f"/>
    <w:rPr>
      <w:vertAlign w:val="superscript"/>
    </w:rPr>
  </w:style>
  <w:style w:type="character" w:styleId="Title2crowdfundmatchZnak" w:customStyle="1">
    <w:name w:val="Title 2 crowdfundmatch Znak"/>
    <w:basedOn w:val="DefaultParagraphFont"/>
    <w:link w:val="Title2crowdfundmatch"/>
    <w:qFormat/>
    <w:rsid w:val="00400b1f"/>
    <w:rPr>
      <w:rFonts w:ascii="Open Sans" w:hAnsi="Open Sans" w:cs="Open Sans"/>
      <w:sz w:val="24"/>
      <w:szCs w:val="28"/>
      <w:lang w:val="en-GB"/>
    </w:rPr>
  </w:style>
  <w:style w:type="character" w:styleId="Style15">
    <w:name w:val="Σύνδεσμος διαδικτύου"/>
    <w:basedOn w:val="DefaultParagraphFont"/>
    <w:uiPriority w:val="99"/>
    <w:unhideWhenUsed/>
    <w:rsid w:val="00400b1f"/>
    <w:rPr>
      <w:color w:val="0563C1" w:themeColor="hyperlink"/>
      <w:u w:val="single"/>
    </w:rPr>
  </w:style>
  <w:style w:type="character" w:styleId="UnresolvedMention">
    <w:name w:val="Unresolved Mention"/>
    <w:basedOn w:val="DefaultParagraphFont"/>
    <w:uiPriority w:val="99"/>
    <w:semiHidden/>
    <w:unhideWhenUsed/>
    <w:qFormat/>
    <w:rsid w:val="00400b1f"/>
    <w:rPr>
      <w:color w:val="605E5C"/>
      <w:shd w:fill="E1DFDD" w:val="clear"/>
    </w:rPr>
  </w:style>
  <w:style w:type="character" w:styleId="FollowedHyperlink">
    <w:name w:val="FollowedHyperlink"/>
    <w:basedOn w:val="DefaultParagraphFont"/>
    <w:uiPriority w:val="99"/>
    <w:semiHidden/>
    <w:unhideWhenUsed/>
    <w:qFormat/>
    <w:rsid w:val="00376b9c"/>
    <w:rPr>
      <w:color w:val="954F72" w:themeColor="followedHyperlink"/>
      <w:u w:val="single"/>
    </w:rPr>
  </w:style>
  <w:style w:type="character" w:styleId="Style16">
    <w:name w:val="Χαρακτήρες υποσημείωσης"/>
    <w:qFormat/>
    <w:rPr/>
  </w:style>
  <w:style w:type="character" w:styleId="Style17">
    <w:name w:val="Αγκίστρωση σημειώσεων τέλους"/>
    <w:rPr>
      <w:vertAlign w:val="superscript"/>
    </w:rPr>
  </w:style>
  <w:style w:type="character" w:styleId="Style18">
    <w:name w:val="Χαρακτήρες σημείωσης τέλους"/>
    <w:qFormat/>
    <w:rPr/>
  </w:style>
  <w:style w:type="paragraph" w:styleId="Style19">
    <w:name w:val="Επικεφαλίδα"/>
    <w:basedOn w:val="Normal"/>
    <w:next w:val="Style20"/>
    <w:qFormat/>
    <w:pPr>
      <w:keepNext w:val="true"/>
      <w:spacing w:before="240" w:after="120"/>
    </w:pPr>
    <w:rPr>
      <w:rFonts w:ascii="Liberation Sans" w:hAnsi="Liberation Sans" w:eastAsia="Microsoft YaHei" w:cs="Arial"/>
      <w:sz w:val="28"/>
      <w:szCs w:val="28"/>
    </w:rPr>
  </w:style>
  <w:style w:type="paragraph" w:styleId="Style20">
    <w:name w:val="Body Text"/>
    <w:basedOn w:val="Normal"/>
    <w:pPr>
      <w:spacing w:lineRule="auto" w:line="276" w:before="0" w:after="140"/>
    </w:pPr>
    <w:rPr/>
  </w:style>
  <w:style w:type="paragraph" w:styleId="Style21">
    <w:name w:val="List"/>
    <w:basedOn w:val="Style20"/>
    <w:pPr/>
    <w:rPr>
      <w:rFonts w:cs="Arial"/>
    </w:rPr>
  </w:style>
  <w:style w:type="paragraph" w:styleId="Style22">
    <w:name w:val="Caption"/>
    <w:basedOn w:val="Normal"/>
    <w:qFormat/>
    <w:pPr>
      <w:suppressLineNumbers/>
      <w:spacing w:before="120" w:after="120"/>
    </w:pPr>
    <w:rPr>
      <w:rFonts w:cs="Arial"/>
      <w:i/>
      <w:iCs/>
      <w:sz w:val="24"/>
      <w:szCs w:val="24"/>
    </w:rPr>
  </w:style>
  <w:style w:type="paragraph" w:styleId="Style23">
    <w:name w:val="Ευρετήριο"/>
    <w:basedOn w:val="Normal"/>
    <w:qFormat/>
    <w:pPr>
      <w:suppressLineNumbers/>
    </w:pPr>
    <w:rPr>
      <w:rFonts w:cs="Arial"/>
    </w:rPr>
  </w:style>
  <w:style w:type="paragraph" w:styleId="Style24">
    <w:name w:val="Κεφαλίδα και υποσέλιδο"/>
    <w:basedOn w:val="Normal"/>
    <w:qFormat/>
    <w:pPr/>
    <w:rPr/>
  </w:style>
  <w:style w:type="paragraph" w:styleId="Style25">
    <w:name w:val="Header"/>
    <w:basedOn w:val="Normal"/>
    <w:link w:val="Char"/>
    <w:uiPriority w:val="99"/>
    <w:unhideWhenUsed/>
    <w:rsid w:val="0000272d"/>
    <w:pPr>
      <w:tabs>
        <w:tab w:val="clear" w:pos="708"/>
        <w:tab w:val="center" w:pos="4536" w:leader="none"/>
        <w:tab w:val="right" w:pos="9072" w:leader="none"/>
      </w:tabs>
      <w:spacing w:lineRule="auto" w:line="240" w:before="0" w:after="0"/>
    </w:pPr>
    <w:rPr/>
  </w:style>
  <w:style w:type="paragraph" w:styleId="Style26">
    <w:name w:val="Footer"/>
    <w:basedOn w:val="Normal"/>
    <w:link w:val="Char0"/>
    <w:uiPriority w:val="99"/>
    <w:unhideWhenUsed/>
    <w:rsid w:val="0000272d"/>
    <w:pPr>
      <w:tabs>
        <w:tab w:val="clear" w:pos="708"/>
        <w:tab w:val="center" w:pos="4536" w:leader="none"/>
        <w:tab w:val="right" w:pos="9072" w:leader="none"/>
      </w:tabs>
      <w:spacing w:lineRule="auto" w:line="240" w:before="0" w:after="0"/>
    </w:pPr>
    <w:rPr/>
  </w:style>
  <w:style w:type="paragraph" w:styleId="ListParagraph">
    <w:name w:val="List Paragraph"/>
    <w:basedOn w:val="Normal"/>
    <w:uiPriority w:val="34"/>
    <w:qFormat/>
    <w:rsid w:val="00c20a97"/>
    <w:pPr>
      <w:spacing w:before="0" w:after="160"/>
      <w:ind w:left="720" w:hanging="0"/>
      <w:contextualSpacing/>
    </w:pPr>
    <w:rPr/>
  </w:style>
  <w:style w:type="paragraph" w:styleId="Textcrowdfundmatch" w:customStyle="1">
    <w:name w:val="text crowdfundmatch"/>
    <w:basedOn w:val="Normal"/>
    <w:link w:val="textcrowdfundmatchZnak"/>
    <w:qFormat/>
    <w:rsid w:val="004b519b"/>
    <w:pPr/>
    <w:rPr>
      <w:rFonts w:ascii="Open Sans" w:hAnsi="Open Sans" w:cs="Open Sans"/>
      <w:szCs w:val="24"/>
      <w:lang w:val="en-GB"/>
    </w:rPr>
  </w:style>
  <w:style w:type="paragraph" w:styleId="Default" w:customStyle="1">
    <w:name w:val="Default"/>
    <w:qFormat/>
    <w:rsid w:val="00d02619"/>
    <w:pPr>
      <w:widowControl/>
      <w:bidi w:val="0"/>
      <w:spacing w:lineRule="auto" w:line="240" w:before="0" w:after="0"/>
      <w:jc w:val="left"/>
    </w:pPr>
    <w:rPr>
      <w:rFonts w:ascii="Open Sans" w:hAnsi="Open Sans" w:eastAsia="Calibri" w:cs="Open Sans"/>
      <w:color w:val="000000"/>
      <w:kern w:val="0"/>
      <w:sz w:val="24"/>
      <w:szCs w:val="24"/>
      <w:lang w:val="sl-SI" w:eastAsia="en-US" w:bidi="ar-SA"/>
    </w:rPr>
  </w:style>
  <w:style w:type="paragraph" w:styleId="Style27">
    <w:name w:val="Footnote Text"/>
    <w:basedOn w:val="Normal"/>
    <w:link w:val="Char1"/>
    <w:uiPriority w:val="99"/>
    <w:semiHidden/>
    <w:unhideWhenUsed/>
    <w:rsid w:val="00400b1f"/>
    <w:pPr>
      <w:spacing w:lineRule="auto" w:line="240" w:before="0" w:after="0"/>
    </w:pPr>
    <w:rPr>
      <w:sz w:val="20"/>
      <w:szCs w:val="20"/>
    </w:rPr>
  </w:style>
  <w:style w:type="paragraph" w:styleId="Title2crowdfundmatch" w:customStyle="1">
    <w:name w:val="Title 2 crowdfundmatch"/>
    <w:basedOn w:val="ListParagraph"/>
    <w:link w:val="Title2crowdfundmatchZnak"/>
    <w:qFormat/>
    <w:rsid w:val="00400b1f"/>
    <w:pPr/>
    <w:rPr>
      <w:rFonts w:ascii="Open Sans" w:hAnsi="Open Sans" w:cs="Open Sans"/>
      <w:sz w:val="24"/>
      <w:szCs w:val="28"/>
      <w:lang w:val="en-GB"/>
    </w:rPr>
  </w:style>
  <w:style w:type="paragraph" w:styleId="Style28">
    <w:name w:val="Περιεχόμενα πλαισίου"/>
    <w:basedOn w:val="Normal"/>
    <w:qFormat/>
    <w:pPr/>
    <w:rPr/>
  </w:style>
  <w:style w:type="numbering" w:styleId="NoList" w:default="1">
    <w:name w:val="No List"/>
    <w:uiPriority w:val="99"/>
    <w:semiHidden/>
    <w:unhideWhenUsed/>
    <w:qFormat/>
  </w:style>
  <w:style w:type="table" w:default="1" w:styleId="a1">
    <w:name w:val="Normal Table"/>
    <w:uiPriority w:val="99"/>
    <w:semiHidden/>
    <w:unhideWhenUsed/>
    <w:tblPr>
      <w:tblInd w:w="0" w:type="dxa"/>
      <w:tblCellMar>
        <w:top w:w="0" w:type="dxa"/>
        <w:left w:w="108" w:type="dxa"/>
        <w:bottom w:w="0" w:type="dxa"/>
        <w:right w:w="108" w:type="dxa"/>
      </w:tblCellMar>
    </w:tblPr>
  </w:style>
  <w:style w:type="table" w:styleId="a5">
    <w:name w:val="Table Grid"/>
    <w:basedOn w:val="a1"/>
    <w:uiPriority w:val="39"/>
    <w:rsid w:val="00433886"/>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Tabelamrea1">
    <w:name w:val="Tabela – mreža1"/>
    <w:basedOn w:val="a1"/>
    <w:uiPriority w:val="59"/>
    <w:rsid w:val="00ca7ce6"/>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s://www.interregeurope.eu/sites/default/files/2024-12/Common Fundmatching scheme and Peer to peer mentoring_final1.pdf" TargetMode="External"/><Relationship Id="rId3" Type="http://schemas.openxmlformats.org/officeDocument/2006/relationships/image" Target="media/image1.jpeg"/><Relationship Id="rId4" Type="http://schemas.openxmlformats.org/officeDocument/2006/relationships/image" Target="media/image2.png"/><Relationship Id="rId5" Type="http://schemas.openxmlformats.org/officeDocument/2006/relationships/hyperlink" Target="https://www.interregeurope.eu/crowdfundmatch" TargetMode="External"/><Relationship Id="rId6" Type="http://schemas.openxmlformats.org/officeDocument/2006/relationships/image" Target="media/image3.png"/><Relationship Id="rId7" Type="http://schemas.microsoft.com/office/2007/relationships/hdphoto" Target="media/hdphoto1.wdp"/><Relationship Id="rId8" Type="http://schemas.openxmlformats.org/officeDocument/2006/relationships/hyperlink" Target="https://www.linkedin.com/company/crowd-fund-match/" TargetMode="External"/><Relationship Id="rId9" Type="http://schemas.openxmlformats.org/officeDocument/2006/relationships/image" Target="media/image4.png"/><Relationship Id="rId10" Type="http://schemas.openxmlformats.org/officeDocument/2006/relationships/hyperlink" Target="https://www.facebook.com/CROWDFUNDMATCH" TargetMode="External"/><Relationship Id="rId11" Type="http://schemas.openxmlformats.org/officeDocument/2006/relationships/image" Target="media/image5.png"/><Relationship Id="rId12" Type="http://schemas.openxmlformats.org/officeDocument/2006/relationships/hyperlink" Target="https://twitter.com/crowdfundmatch" TargetMode="External"/><Relationship Id="rId13" Type="http://schemas.openxmlformats.org/officeDocument/2006/relationships/header" Target="header1.xml"/><Relationship Id="rId14" Type="http://schemas.openxmlformats.org/officeDocument/2006/relationships/footer" Target="footer1.xml"/><Relationship Id="rId15" Type="http://schemas.openxmlformats.org/officeDocument/2006/relationships/footnotes" Target="footnotes.xml"/><Relationship Id="rId16" Type="http://schemas.openxmlformats.org/officeDocument/2006/relationships/numbering" Target="numbering.xml"/><Relationship Id="rId17" Type="http://schemas.openxmlformats.org/officeDocument/2006/relationships/fontTable" Target="fontTable.xml"/><Relationship Id="rId18" Type="http://schemas.openxmlformats.org/officeDocument/2006/relationships/settings" Target="settings.xml"/><Relationship Id="rId19" Type="http://schemas.openxmlformats.org/officeDocument/2006/relationships/theme" Target="theme/theme1.xml"/><Relationship Id="rId20" Type="http://schemas.openxmlformats.org/officeDocument/2006/relationships/customXml" Target="../customXml/item1.xml"/>
</Relationships>
</file>

<file path=word/_rels/footnotes.xml.rels><?xml version="1.0" encoding="UTF-8"?>
<Relationships xmlns="http://schemas.openxmlformats.org/package/2006/relationships"><Relationship Id="rId1" Type="http://schemas.openxmlformats.org/officeDocument/2006/relationships/hyperlink" Target="https://corporatefinanceinstitute.com/resources/valuation/equity-crowdfunding/" TargetMode="External"/>
</Relationships>
</file>

<file path=word/_rels/header1.xml.rels><?xml version="1.0" encoding="UTF-8"?>
<Relationships xmlns="http://schemas.openxmlformats.org/package/2006/relationships"><Relationship Id="rId1" Type="http://schemas.openxmlformats.org/officeDocument/2006/relationships/image" Target="media/image6.jpeg"/><Relationship Id="rId2" Type="http://schemas.openxmlformats.org/officeDocument/2006/relationships/image" Target="media/image7.jpeg"/>
</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B6DADBBD-5F9D-4CFC-968A-91D96ADBFF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319</TotalTime>
  <Application>LibreOffice/6.3.3.1$Windows_X86_64 LibreOffice_project/f41f4c7f9507aeca13cb9df51f34d80e8ba30a99</Application>
  <Pages>8</Pages>
  <Words>2386</Words>
  <Characters>15598</Characters>
  <CharactersWithSpaces>17978</CharactersWithSpaces>
  <Paragraphs>106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2025-02-20T12:20:00Z</dcterms:created>
  <dc:creator>Anja Prislan</dc:creator>
  <dc:description/>
  <dc:language>el-GR</dc:language>
  <cp:lastModifiedBy/>
  <cp:lastPrinted>2025-02-25T14:41:06Z</cp:lastPrinted>
  <dcterms:modified xsi:type="dcterms:W3CDTF">2025-02-25T14:44:21Z</dcterms:modified>
  <cp:revision>119</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GrammarlyDocumentId">
    <vt:lpwstr>fbe7ad735418532544d51f465c96780519a0be6f9d164772c7de591205728440</vt:lpwstr>
  </property>
  <property fmtid="{D5CDD505-2E9C-101B-9397-08002B2CF9AE}" pid="5" name="HyperlinksChanged">
    <vt:bool>0</vt:bool>
  </property>
  <property fmtid="{D5CDD505-2E9C-101B-9397-08002B2CF9AE}" pid="6" name="LinksUpToDate">
    <vt:bool>0</vt:bool>
  </property>
  <property fmtid="{D5CDD505-2E9C-101B-9397-08002B2CF9AE}" pid="7" name="ScaleCrop">
    <vt:bool>0</vt:bool>
  </property>
  <property fmtid="{D5CDD505-2E9C-101B-9397-08002B2CF9AE}" pid="8" name="ShareDoc">
    <vt:bool>0</vt:bool>
  </property>
</Properties>
</file>