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1.png" ContentType="image/png"/>
  <Override PartName="/word/media/image2.png" ContentType="image/png"/>
  <Override PartName="/word/media/image3.jpeg" ContentType="image/jpeg"/>
  <Override PartName="/word/media/image5.png" ContentType="image/png"/>
  <Override PartName="/word/media/image4.png" ContentType="image/png"/>
  <Override PartName="/word/media/hdphoto1.wdp" ContentType="image/vnd.ms-photo"/>
  <Override PartName="/word/media/image6.png" ContentType="image/png"/>
  <Override PartName="/word/media/image7.png" ContentType="image/png"/>
  <Override PartName="/word/media/image8.jpeg" ContentType="image/jpeg"/>
  <Override PartName="/word/media/image9.jpeg" ContentType="image/jpeg"/>
  <Override PartName="/word/header2.xml" ContentType="application/vnd.openxmlformats-officedocument.wordprocessingml.header+xml"/>
  <Override PartName="/word/header1.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header3.xml.rels" ContentType="application/vnd.openxmlformats-package.relationships+xml"/>
  <Override PartName="/word/_rels/header2.xml.rels" ContentType="application/vnd.openxmlformats-package.relationships+xml"/>
  <Override PartName="/word/_rels/header1.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jc w:val="center"/>
        <w:rPr>
          <w:rFonts w:ascii="Open Sans" w:hAnsi="Open Sans" w:eastAsia="Times New Roman" w:cs="Open Sans"/>
          <w:b/>
          <w:b/>
          <w:bCs/>
          <w:color w:val="404040"/>
          <w:kern w:val="0"/>
          <w:sz w:val="36"/>
          <w:szCs w:val="36"/>
          <w:lang w:val="en-GB"/>
          <w14:ligatures w14:val="none"/>
        </w:rPr>
      </w:pPr>
      <w:r>
        <w:rPr>
          <w:rFonts w:eastAsia="Times New Roman" w:cs="Open Sans" w:ascii="Open Sans" w:hAnsi="Open Sans"/>
          <w:b/>
          <w:bCs/>
          <w:color w:val="404040"/>
          <w:kern w:val="0"/>
          <w:sz w:val="36"/>
          <w:szCs w:val="36"/>
          <w:lang w:val="en-GB"/>
          <w14:ligatures w14:val="none"/>
        </w:rPr>
        <mc:AlternateContent>
          <mc:Choice Requires="wpg">
            <w:drawing>
              <wp:anchor behindDoc="0" distT="0" distB="3810" distL="0" distR="2540" simplePos="0" locked="0" layoutInCell="0" allowOverlap="1" relativeHeight="24" wp14:anchorId="5C007B58">
                <wp:simplePos x="0" y="0"/>
                <wp:positionH relativeFrom="margin">
                  <wp:posOffset>-407035</wp:posOffset>
                </wp:positionH>
                <wp:positionV relativeFrom="paragraph">
                  <wp:posOffset>-51435</wp:posOffset>
                </wp:positionV>
                <wp:extent cx="6740525" cy="1806575"/>
                <wp:effectExtent l="635" t="0" r="0" b="0"/>
                <wp:wrapNone/>
                <wp:docPr id="1" name="Skupina 2"/>
                <a:graphic xmlns:a="http://schemas.openxmlformats.org/drawingml/2006/main">
                  <a:graphicData uri="http://schemas.microsoft.com/office/word/2010/wordprocessingGroup">
                    <wpg:wgp>
                      <wpg:cNvGrpSpPr/>
                      <wpg:grpSpPr>
                        <a:xfrm>
                          <a:off x="0" y="0"/>
                          <a:ext cx="6740640" cy="1806480"/>
                          <a:chOff x="0" y="0"/>
                          <a:chExt cx="6740640" cy="1806480"/>
                        </a:xfrm>
                      </wpg:grpSpPr>
                      <wps:wsp>
                        <wps:cNvSpPr/>
                        <wps:spPr>
                          <a:xfrm>
                            <a:off x="326880" y="1139760"/>
                            <a:ext cx="325080" cy="666720"/>
                          </a:xfrm>
                          <a:custGeom>
                            <a:avLst/>
                            <a:gdLst>
                              <a:gd name="textAreaLeft" fmla="*/ 0 w 184320"/>
                              <a:gd name="textAreaRight" fmla="*/ 184680 w 184320"/>
                              <a:gd name="textAreaTop" fmla="*/ 0 h 378000"/>
                              <a:gd name="textAreaBottom" fmla="*/ 378360 h 378000"/>
                            </a:gdLst>
                            <a:ahLst/>
                            <a:rect l="textAreaLeft" t="textAreaTop" r="textAreaRight" b="textAreaBottom"/>
                            <a:pathLst>
                              <a:path w="560" h="1095">
                                <a:moveTo>
                                  <a:pt x="2" y="1094"/>
                                </a:moveTo>
                                <a:lnTo>
                                  <a:pt x="0" y="0"/>
                                </a:lnTo>
                                <a:lnTo>
                                  <a:pt x="560" y="0"/>
                                </a:lnTo>
                                <a:lnTo>
                                  <a:pt x="2" y="1094"/>
                                </a:lnTo>
                                <a:close/>
                              </a:path>
                            </a:pathLst>
                          </a:custGeom>
                          <a:solidFill>
                            <a:srgbClr val="00a883"/>
                          </a:solidFill>
                          <a:ln w="0">
                            <a:noFill/>
                          </a:ln>
                        </wps:spPr>
                        <wps:style>
                          <a:lnRef idx="0"/>
                          <a:fillRef idx="0"/>
                          <a:effectRef idx="0"/>
                          <a:fontRef idx="minor"/>
                        </wps:style>
                        <wps:bodyPr/>
                      </wps:wsp>
                      <wps:wsp>
                        <wps:cNvSpPr/>
                        <wps:spPr>
                          <a:xfrm>
                            <a:off x="0" y="1139760"/>
                            <a:ext cx="326520" cy="666720"/>
                          </a:xfrm>
                          <a:custGeom>
                            <a:avLst/>
                            <a:gdLst>
                              <a:gd name="textAreaLeft" fmla="*/ 0 w 185040"/>
                              <a:gd name="textAreaRight" fmla="*/ 185400 w 185040"/>
                              <a:gd name="textAreaTop" fmla="*/ 0 h 378000"/>
                              <a:gd name="textAreaBottom" fmla="*/ 378360 h 378000"/>
                            </a:gdLst>
                            <a:ahLst/>
                            <a:rect l="textAreaLeft" t="textAreaTop" r="textAreaRight" b="textAreaBottom"/>
                            <a:pathLst>
                              <a:path w="562" h="1095">
                                <a:moveTo>
                                  <a:pt x="0" y="1"/>
                                </a:moveTo>
                                <a:lnTo>
                                  <a:pt x="560" y="0"/>
                                </a:lnTo>
                                <a:lnTo>
                                  <a:pt x="562" y="1094"/>
                                </a:lnTo>
                                <a:lnTo>
                                  <a:pt x="0" y="1"/>
                                </a:lnTo>
                                <a:close/>
                              </a:path>
                            </a:pathLst>
                          </a:custGeom>
                          <a:solidFill>
                            <a:srgbClr val="4ab598"/>
                          </a:solidFill>
                          <a:ln w="0">
                            <a:noFill/>
                          </a:ln>
                        </wps:spPr>
                        <wps:style>
                          <a:lnRef idx="0"/>
                          <a:fillRef idx="0"/>
                          <a:effectRef idx="0"/>
                          <a:fontRef idx="minor"/>
                        </wps:style>
                        <wps:bodyPr/>
                      </wps:wsp>
                      <wps:wsp>
                        <wps:cNvSpPr/>
                        <wps:spPr>
                          <a:xfrm>
                            <a:off x="0" y="0"/>
                            <a:ext cx="6740640" cy="1139040"/>
                          </a:xfrm>
                          <a:prstGeom prst="rect">
                            <a:avLst/>
                          </a:prstGeom>
                          <a:solidFill>
                            <a:srgbClr val="4ab598"/>
                          </a:solidFill>
                          <a:ln w="0">
                            <a:noFill/>
                          </a:ln>
                        </wps:spPr>
                        <wps:style>
                          <a:lnRef idx="0"/>
                          <a:fillRef idx="0"/>
                          <a:effectRef idx="0"/>
                          <a:fontRef idx="minor"/>
                        </wps:style>
                        <wps:bodyPr/>
                      </wps:wsp>
                      <wps:wsp>
                        <wps:cNvSpPr/>
                        <wps:spPr>
                          <a:xfrm>
                            <a:off x="421560" y="117360"/>
                            <a:ext cx="6257880" cy="966960"/>
                          </a:xfrm>
                          <a:prstGeom prst="rect">
                            <a:avLst/>
                          </a:prstGeom>
                          <a:noFill/>
                          <a:ln w="0">
                            <a:noFill/>
                          </a:ln>
                        </wps:spPr>
                        <wps:style>
                          <a:lnRef idx="0"/>
                          <a:fillRef idx="0"/>
                          <a:effectRef idx="0"/>
                          <a:fontRef idx="minor"/>
                        </wps:style>
                        <wps:txbx>
                          <w:txbxContent>
                            <w:p>
                              <w:pPr>
                                <w:pStyle w:val="Normal"/>
                                <w:spacing w:lineRule="auto" w:line="247"/>
                                <w:rPr>
                                  <w:rFonts w:ascii="Open Sans" w:hAnsi="Open Sans" w:cs="Open Sans"/>
                                  <w:b/>
                                  <w:b/>
                                  <w:sz w:val="36"/>
                                  <w:szCs w:val="36"/>
                                  <w:lang w:val="el-GR"/>
                                </w:rPr>
                              </w:pPr>
                              <w:r>
                                <w:rPr>
                                  <w:rFonts w:cs="Open Sans" w:ascii="Open Sans" w:hAnsi="Open Sans"/>
                                  <w:b/>
                                  <w:color w:val="FFFFFF"/>
                                  <w:w w:val="90"/>
                                  <w:sz w:val="36"/>
                                  <w:szCs w:val="36"/>
                                </w:rPr>
                                <w:t>CROWDFUNDMATCH</w:t>
                              </w:r>
                              <w:r>
                                <w:rPr>
                                  <w:rFonts w:cs="Open Sans" w:ascii="Open Sans" w:hAnsi="Open Sans"/>
                                  <w:b/>
                                  <w:color w:val="FFFFFF"/>
                                  <w:spacing w:val="39"/>
                                  <w:w w:val="90"/>
                                  <w:sz w:val="36"/>
                                  <w:szCs w:val="36"/>
                                </w:rPr>
                                <w:t xml:space="preserve"> </w:t>
                              </w:r>
                              <w:r>
                                <w:rPr>
                                  <w:rFonts w:cs="Open Sans" w:ascii="Open Sans" w:hAnsi="Open Sans"/>
                                  <w:b/>
                                  <w:color w:val="FFFFFF"/>
                                  <w:w w:val="90"/>
                                  <w:sz w:val="36"/>
                                  <w:szCs w:val="36"/>
                                </w:rPr>
                                <w:t>–</w:t>
                              </w:r>
                              <w:r>
                                <w:rPr>
                                  <w:rFonts w:cs="Open Sans" w:ascii="Open Sans" w:hAnsi="Open Sans"/>
                                  <w:b/>
                                  <w:color w:val="FFFFFF"/>
                                  <w:spacing w:val="40"/>
                                  <w:w w:val="90"/>
                                  <w:sz w:val="36"/>
                                  <w:szCs w:val="36"/>
                                </w:rPr>
                                <w:t xml:space="preserve"> </w:t>
                              </w:r>
                              <w:r>
                                <w:rPr>
                                  <w:rFonts w:cs="Open Sans" w:ascii="Open Sans" w:hAnsi="Open Sans"/>
                                  <w:b/>
                                  <w:color w:val="FFFFFF"/>
                                  <w:spacing w:val="40"/>
                                  <w:w w:val="90"/>
                                  <w:sz w:val="36"/>
                                  <w:szCs w:val="36"/>
                                  <w:lang w:val="el-GR"/>
                                </w:rPr>
                                <w:t>Ξεκλειδώνοντας τις Δυνατότητες Συμμετοχικής Χρηματοδότησης για τα Ευρωπαϊκά Διαρθρωτικά Επενδυτικά Ταμεία</w:t>
                              </w:r>
                            </w:p>
                            <w:p>
                              <w:pPr>
                                <w:pStyle w:val="Normal"/>
                                <w:spacing w:lineRule="auto" w:line="247" w:before="0" w:after="160"/>
                                <w:rPr>
                                  <w:rFonts w:ascii="Open Sans" w:hAnsi="Open Sans" w:cs="Open Sans"/>
                                  <w:b/>
                                  <w:b/>
                                  <w:sz w:val="36"/>
                                  <w:szCs w:val="36"/>
                                  <w:lang w:val="el-GR"/>
                                </w:rPr>
                              </w:pPr>
                              <w:r>
                                <w:rPr/>
                              </w:r>
                            </w:p>
                          </w:txbxContent>
                        </wps:txbx>
                        <wps:bodyPr lIns="0" rIns="0" tIns="0" bIns="0" anchor="t">
                          <a:noAutofit/>
                        </wps:bodyPr>
                      </wps:wsp>
                    </wpg:wgp>
                  </a:graphicData>
                </a:graphic>
              </wp:anchor>
            </w:drawing>
          </mc:Choice>
          <mc:Fallback>
            <w:pict>
              <v:group id="shape_0" alt="Skupina 2" style="position:absolute;margin-left:-32.05pt;margin-top:-4.05pt;width:530.75pt;height:142.25pt" coordorigin="-641,-81" coordsize="10615,2845">
                <v:rect id="shape_0" ID="Rectangle 26" path="m0,0l-2147483645,0l-2147483645,-2147483646l0,-2147483646xe" fillcolor="#4ab598" stroked="f" o:allowincell="f" style="position:absolute;left:-641;top:-81;width:10614;height:1793;mso-wrap-style:none;v-text-anchor:middle;mso-position-horizontal-relative:margin">
                  <v:fill o:detectmouseclick="t" type="solid" color2="#b54a67"/>
                  <v:stroke color="#3465a4" joinstyle="round" endcap="flat"/>
                  <w10:wrap type="none"/>
                </v:rect>
                <v:rect id="shape_0" ID="Text Box 27" path="m0,0l-2147483645,0l-2147483645,-2147483646l0,-2147483646xe" stroked="f" o:allowincell="f" style="position:absolute;left:23;top:104;width:9854;height:1522;mso-wrap-style:square;v-text-anchor:top;mso-position-horizontal-relative:margin">
                  <v:fill o:detectmouseclick="t" on="false"/>
                  <v:stroke color="#3465a4" joinstyle="round" endcap="flat"/>
                  <v:textbox>
                    <w:txbxContent>
                      <w:p>
                        <w:pPr>
                          <w:pStyle w:val="Normal"/>
                          <w:spacing w:lineRule="auto" w:line="247"/>
                          <w:rPr>
                            <w:rFonts w:ascii="Open Sans" w:hAnsi="Open Sans" w:cs="Open Sans"/>
                            <w:b/>
                            <w:b/>
                            <w:sz w:val="36"/>
                            <w:szCs w:val="36"/>
                            <w:lang w:val="el-GR"/>
                          </w:rPr>
                        </w:pPr>
                        <w:r>
                          <w:rPr>
                            <w:rFonts w:cs="Open Sans" w:ascii="Open Sans" w:hAnsi="Open Sans"/>
                            <w:b/>
                            <w:color w:val="FFFFFF"/>
                            <w:w w:val="90"/>
                            <w:sz w:val="36"/>
                            <w:szCs w:val="36"/>
                          </w:rPr>
                          <w:t>CROWDFUNDMATCH</w:t>
                        </w:r>
                        <w:r>
                          <w:rPr>
                            <w:rFonts w:cs="Open Sans" w:ascii="Open Sans" w:hAnsi="Open Sans"/>
                            <w:b/>
                            <w:color w:val="FFFFFF"/>
                            <w:spacing w:val="39"/>
                            <w:w w:val="90"/>
                            <w:sz w:val="36"/>
                            <w:szCs w:val="36"/>
                          </w:rPr>
                          <w:t xml:space="preserve"> </w:t>
                        </w:r>
                        <w:r>
                          <w:rPr>
                            <w:rFonts w:cs="Open Sans" w:ascii="Open Sans" w:hAnsi="Open Sans"/>
                            <w:b/>
                            <w:color w:val="FFFFFF"/>
                            <w:w w:val="90"/>
                            <w:sz w:val="36"/>
                            <w:szCs w:val="36"/>
                          </w:rPr>
                          <w:t>–</w:t>
                        </w:r>
                        <w:r>
                          <w:rPr>
                            <w:rFonts w:cs="Open Sans" w:ascii="Open Sans" w:hAnsi="Open Sans"/>
                            <w:b/>
                            <w:color w:val="FFFFFF"/>
                            <w:spacing w:val="40"/>
                            <w:w w:val="90"/>
                            <w:sz w:val="36"/>
                            <w:szCs w:val="36"/>
                          </w:rPr>
                          <w:t xml:space="preserve"> </w:t>
                        </w:r>
                        <w:r>
                          <w:rPr>
                            <w:rFonts w:cs="Open Sans" w:ascii="Open Sans" w:hAnsi="Open Sans"/>
                            <w:b/>
                            <w:color w:val="FFFFFF"/>
                            <w:spacing w:val="40"/>
                            <w:w w:val="90"/>
                            <w:sz w:val="36"/>
                            <w:szCs w:val="36"/>
                            <w:lang w:val="el-GR"/>
                          </w:rPr>
                          <w:t>Ξεκλειδώνοντας τις Δυνατότητες Συμμετοχικής Χρηματοδότησης για τα Ευρωπαϊκά Διαρθρωτικά Επενδυτικά Ταμεία</w:t>
                        </w:r>
                      </w:p>
                      <w:p>
                        <w:pPr>
                          <w:pStyle w:val="Normal"/>
                          <w:spacing w:lineRule="auto" w:line="247" w:before="0" w:after="160"/>
                          <w:rPr>
                            <w:rFonts w:ascii="Open Sans" w:hAnsi="Open Sans" w:cs="Open Sans"/>
                            <w:b/>
                            <w:b/>
                            <w:sz w:val="36"/>
                            <w:szCs w:val="36"/>
                            <w:lang w:val="el-GR"/>
                          </w:rPr>
                        </w:pPr>
                        <w:r>
                          <w:rPr/>
                        </w:r>
                      </w:p>
                    </w:txbxContent>
                  </v:textbox>
                  <w10:wrap type="none"/>
                </v:rect>
              </v:group>
            </w:pict>
          </mc:Fallback>
        </mc:AlternateContent>
      </w:r>
    </w:p>
    <w:p>
      <w:pPr>
        <w:pStyle w:val="Normal"/>
        <w:jc w:val="center"/>
        <w:rPr>
          <w:rFonts w:ascii="Open Sans" w:hAnsi="Open Sans" w:eastAsia="Times New Roman" w:cs="Open Sans"/>
          <w:b/>
          <w:b/>
          <w:bCs/>
          <w:color w:val="404040"/>
          <w:kern w:val="0"/>
          <w:sz w:val="36"/>
          <w:szCs w:val="36"/>
          <w:lang w:val="en-GB"/>
          <w14:ligatures w14:val="none"/>
        </w:rPr>
      </w:pPr>
      <w:r>
        <w:rPr>
          <w:rFonts w:eastAsia="Times New Roman" w:cs="Open Sans" w:ascii="Open Sans" w:hAnsi="Open Sans"/>
          <w:b/>
          <w:bCs/>
          <w:color w:val="404040"/>
          <w:kern w:val="0"/>
          <w:sz w:val="36"/>
          <w:szCs w:val="36"/>
          <w:lang w:val="en-GB"/>
          <w14:ligatures w14:val="none"/>
        </w:rPr>
      </w:r>
    </w:p>
    <w:p>
      <w:pPr>
        <w:pStyle w:val="Normal"/>
        <w:rPr>
          <w:rFonts w:ascii="Open Sans" w:hAnsi="Open Sans" w:eastAsia="Times New Roman" w:cs="Open Sans"/>
          <w:b/>
          <w:b/>
          <w:bCs/>
          <w:color w:val="404040"/>
          <w:kern w:val="0"/>
          <w:sz w:val="20"/>
          <w:szCs w:val="20"/>
          <w:lang w:val="el-GR"/>
          <w14:ligatures w14:val="none"/>
        </w:rPr>
      </w:pPr>
      <w:r>
        <w:rPr>
          <w:rFonts w:eastAsia="Times New Roman" w:cs="Open Sans" w:ascii="Open Sans" w:hAnsi="Open Sans"/>
          <w:b/>
          <w:bCs/>
          <w:color w:val="404040"/>
          <w:kern w:val="0"/>
          <w:sz w:val="20"/>
          <w:szCs w:val="20"/>
          <w:lang w:val="el-GR"/>
          <w14:ligatures w14:val="none"/>
        </w:rPr>
      </w:r>
    </w:p>
    <w:tbl>
      <w:tblPr>
        <w:tblStyle w:val="a5"/>
        <w:tblW w:w="18124"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9062"/>
        <w:gridCol w:w="9061"/>
      </w:tblGrid>
      <w:tr>
        <w:trPr/>
        <w:tc>
          <w:tcPr>
            <w:tcW w:w="9062" w:type="dxa"/>
            <w:tcBorders>
              <w:top w:val="nil"/>
              <w:left w:val="nil"/>
              <w:bottom w:val="nil"/>
              <w:right w:val="nil"/>
            </w:tcBorders>
          </w:tcPr>
          <w:p>
            <w:pPr>
              <w:pStyle w:val="Normal"/>
              <w:widowControl/>
              <w:spacing w:lineRule="auto" w:line="240" w:before="0" w:after="0"/>
              <w:jc w:val="center"/>
              <w:rPr>
                <w:rFonts w:ascii="Open Sans" w:hAnsi="Open Sans" w:eastAsia="Times New Roman" w:cs="Open Sans"/>
                <w:b/>
                <w:b/>
                <w:bCs/>
                <w:color w:val="7F7F7F" w:themeColor="text1" w:themeTint="80"/>
                <w:kern w:val="0"/>
                <w:sz w:val="10"/>
                <w:szCs w:val="10"/>
                <w:lang w:val="el-GR"/>
                <w14:ligatures w14:val="none"/>
              </w:rPr>
            </w:pPr>
            <w:r>
              <w:rPr>
                <w:rFonts w:eastAsia="Times New Roman" w:cs="Open Sans" w:ascii="Open Sans" w:hAnsi="Open Sans"/>
                <w:b/>
                <w:bCs/>
                <w:color w:val="7F7F7F" w:themeColor="text1" w:themeTint="80"/>
                <w:kern w:val="2"/>
                <w:sz w:val="22"/>
                <w:szCs w:val="22"/>
                <w:lang w:val="sl-SI" w:eastAsia="en-US" w:bidi="ar-SA"/>
                <w14:ligatures w14:val="none"/>
              </w:rPr>
            </w:r>
          </w:p>
          <w:p>
            <w:pPr>
              <w:pStyle w:val="Normal"/>
              <w:widowControl/>
              <w:spacing w:lineRule="auto" w:line="240" w:before="0" w:after="0"/>
              <w:jc w:val="center"/>
              <w:rPr>
                <w:rFonts w:ascii="Open Sans" w:hAnsi="Open Sans" w:eastAsia="Times New Roman" w:cs="Open Sans"/>
                <w:b/>
                <w:b/>
                <w:bCs/>
                <w:color w:val="7F7F7F" w:themeColor="text1" w:themeTint="80"/>
                <w:kern w:val="0"/>
                <w:sz w:val="36"/>
                <w:szCs w:val="36"/>
                <w:lang w:val="el-GR"/>
                <w14:ligatures w14:val="none"/>
              </w:rPr>
            </w:pPr>
            <w:r>
              <w:rPr>
                <w:rFonts w:eastAsia="Times New Roman" w:cs="Open Sans" w:ascii="Open Sans" w:hAnsi="Open Sans"/>
                <w:b/>
                <w:bCs/>
                <w:color w:val="7F7F7F" w:themeColor="text1" w:themeTint="80"/>
                <w:kern w:val="0"/>
                <w:sz w:val="36"/>
                <w:szCs w:val="36"/>
                <w:lang w:val="el-GR" w:eastAsia="en-US" w:bidi="ar-SA"/>
                <w14:ligatures w14:val="none"/>
              </w:rPr>
              <w:t>ΕΝΗΜΕΡΩΤΙΚΟ ΔΕΛΤΙΟ</w:t>
            </w:r>
            <w:r>
              <w:rPr>
                <w:rFonts w:eastAsia="Times New Roman" w:cs="Open Sans" w:ascii="Open Sans" w:hAnsi="Open Sans"/>
                <w:b/>
                <w:bCs/>
                <w:color w:val="7F7F7F" w:themeColor="text1" w:themeTint="80"/>
                <w:kern w:val="0"/>
                <w:sz w:val="36"/>
                <w:szCs w:val="36"/>
                <w:lang w:val="en-GB" w:eastAsia="en-US" w:bidi="ar-SA"/>
                <w14:ligatures w14:val="none"/>
              </w:rPr>
              <w:t xml:space="preserve"> #</w:t>
            </w:r>
            <w:r>
              <w:rPr>
                <w:rFonts w:eastAsia="Times New Roman" w:cs="Open Sans" w:ascii="Open Sans" w:hAnsi="Open Sans"/>
                <w:b/>
                <w:bCs/>
                <w:color w:val="7F7F7F" w:themeColor="text1" w:themeTint="80"/>
                <w:kern w:val="0"/>
                <w:sz w:val="36"/>
                <w:szCs w:val="36"/>
                <w:lang w:val="el-GR" w:eastAsia="en-US" w:bidi="ar-SA"/>
                <w14:ligatures w14:val="none"/>
              </w:rPr>
              <w:t>2</w:t>
            </w:r>
          </w:p>
        </w:tc>
        <w:tc>
          <w:tcPr>
            <w:tcW w:w="9061" w:type="dxa"/>
            <w:tcBorders>
              <w:top w:val="nil"/>
              <w:left w:val="nil"/>
              <w:bottom w:val="nil"/>
              <w:right w:val="nil"/>
            </w:tcBorders>
          </w:tcPr>
          <w:p>
            <w:pPr>
              <w:pStyle w:val="Normal"/>
              <w:widowControl/>
              <w:spacing w:lineRule="auto" w:line="240" w:before="0" w:after="0"/>
              <w:jc w:val="center"/>
              <w:rPr>
                <w:rFonts w:ascii="Open Sans" w:hAnsi="Open Sans" w:eastAsia="Times New Roman" w:cs="Open Sans"/>
                <w:b/>
                <w:b/>
                <w:bCs/>
                <w:color w:val="404040"/>
                <w:kern w:val="0"/>
                <w:sz w:val="36"/>
                <w:szCs w:val="36"/>
                <w:lang w:val="en-GB"/>
                <w14:ligatures w14:val="none"/>
              </w:rPr>
            </w:pPr>
            <w:r>
              <w:rPr>
                <w:rFonts w:eastAsia="Times New Roman" w:cs="Open Sans" w:ascii="Open Sans" w:hAnsi="Open Sans"/>
                <w:b/>
                <w:bCs/>
                <w:color w:val="7F7F7F" w:themeColor="text1" w:themeTint="80"/>
                <w:kern w:val="0"/>
                <w:sz w:val="36"/>
                <w:szCs w:val="36"/>
                <w:lang w:val="en-GB" w:eastAsia="en-US" w:bidi="ar-SA"/>
                <w14:ligatures w14:val="none"/>
              </w:rPr>
              <w:t>NEWSLETTER #2</w:t>
            </w:r>
          </w:p>
        </w:tc>
      </w:tr>
    </w:tbl>
    <w:p>
      <w:pPr>
        <w:pStyle w:val="Normal"/>
        <w:jc w:val="center"/>
        <w:rPr>
          <w:rFonts w:ascii="Open Sans" w:hAnsi="Open Sans" w:cs="Open Sans"/>
          <w:sz w:val="28"/>
          <w:szCs w:val="28"/>
          <w:lang w:val="el-GR"/>
        </w:rPr>
      </w:pPr>
      <w:r>
        <w:rPr>
          <w:rFonts w:eastAsia="Yu Mincho" w:cs="Open Sans" w:ascii="Open Sans" w:hAnsi="Open Sans"/>
          <w:kern w:val="0"/>
          <w:sz w:val="28"/>
          <w:szCs w:val="28"/>
          <w:lang w:val="el-GR" w:eastAsia="ja-JP"/>
          <w14:ligatures w14:val="none"/>
        </w:rPr>
        <w:t>Καλωσήρθατε στη δεύτερη έκδοση του ενημερωτικού δελτίου του έργου “</w:t>
      </w:r>
      <w:r>
        <w:rPr>
          <w:rFonts w:eastAsia="Yu Mincho" w:cs="Open Sans" w:ascii="Open Sans" w:hAnsi="Open Sans"/>
          <w:kern w:val="0"/>
          <w:sz w:val="28"/>
          <w:szCs w:val="28"/>
          <w:lang w:val="es-ES" w:eastAsia="ja-JP"/>
          <w14:ligatures w14:val="none"/>
        </w:rPr>
        <w:t>Crowdfundmatch</w:t>
      </w:r>
      <w:r>
        <w:rPr>
          <w:rFonts w:eastAsia="Yu Mincho" w:cs="Open Sans" w:ascii="Open Sans" w:hAnsi="Open Sans"/>
          <w:kern w:val="0"/>
          <w:sz w:val="28"/>
          <w:szCs w:val="28"/>
          <w:lang w:val="el-GR" w:eastAsia="ja-JP"/>
          <w14:ligatures w14:val="none"/>
        </w:rPr>
        <w:t xml:space="preserve">”! </w:t>
      </w:r>
    </w:p>
    <w:p>
      <w:pPr>
        <w:pStyle w:val="Normal"/>
        <w:jc w:val="both"/>
        <w:rPr>
          <w:rFonts w:ascii="Open Sans" w:hAnsi="Open Sans" w:cs="Open Sans"/>
          <w:b/>
          <w:b/>
          <w:bCs/>
          <w:i/>
          <w:i/>
          <w:iCs/>
          <w:color w:val="00A984"/>
          <w:sz w:val="28"/>
          <w:szCs w:val="28"/>
          <w:u w:val="single"/>
          <w:lang w:val="el-GR"/>
        </w:rPr>
      </w:pPr>
      <w:r>
        <w:rPr>
          <w:rFonts w:cs="Open Sans" w:ascii="Open Sans" w:hAnsi="Open Sans"/>
          <w:b/>
          <w:bCs/>
          <w:i/>
          <w:iCs/>
          <w:color w:val="00A984"/>
          <w:sz w:val="28"/>
          <w:szCs w:val="28"/>
          <w:u w:val="single"/>
          <w:lang w:val="el-GR"/>
        </w:rPr>
        <w:t xml:space="preserve">ΘΕΜΑ ΤΟΥ ΤΕΥΧΟΥΣ: ΕΠΙΣΚΟΠΗΣΗ ΤΩΝ ΥΦΙΣΤΑΜΕΝΩΝ ΚΑΛΩΝ ΠΡΑΚΤΙΚΩΝ ΣΥΝΔΥΑΣΜΟΥ ΚΕΦΑΛΑΙΩΝ ΣΤΙΣ ΧΩΡΕΣ-ΕΤΑΙΡΟΥΣ </w:t>
      </w:r>
    </w:p>
    <w:p>
      <w:pPr>
        <w:pStyle w:val="Normal"/>
        <w:jc w:val="both"/>
        <w:rPr>
          <w:rFonts w:ascii="Open Sans" w:hAnsi="Open Sans" w:eastAsia="Times New Roman" w:cs="Open Sans"/>
          <w:kern w:val="0"/>
          <w:lang w:val="el-GR"/>
          <w14:ligatures w14:val="none"/>
        </w:rPr>
      </w:pPr>
      <w:r>
        <w:rPr>
          <w:rFonts w:eastAsia="Times New Roman" w:cs="Open Sans" w:ascii="Open Sans" w:hAnsi="Open Sans"/>
          <w:kern w:val="0"/>
          <w:lang w:val="el-GR"/>
          <w14:ligatures w14:val="none"/>
        </w:rPr>
        <w:t xml:space="preserve">Από την αρχή του τρέχοντος έτους, το έργο μας επικεντρώθηκε στον εντοπισμό και τη συλλογή καλών πρακτικών συνδυασμού κεφαλαίων από χώρες-εταίρους. Η διαδικασία ξεκίνησε με επιτόπια έρευνα και ακολούθησε διαβούλευση με τους περιφερειακούς ενδιαφερόμενους φορείς. Ολοκληρώθηκε με τη διοργάνωση ενός διακρατικού εργαστηρίου στο Κάθερες της Ισπανίας, το Μάρτιο του 2024, όπου συζητήθηκαν διαφορετικές προσεγγίσεις και απόψεις σχετικά με την εφαρμογή ενός επιτυχημένου σχεδίου συνδυασμού κεφαλαίων. </w:t>
      </w:r>
    </w:p>
    <w:p>
      <w:pPr>
        <w:pStyle w:val="Normal"/>
        <w:jc w:val="both"/>
        <w:rPr>
          <w:rFonts w:ascii="Open Sans" w:hAnsi="Open Sans" w:eastAsia="Times New Roman" w:cs="Open Sans"/>
          <w:kern w:val="0"/>
          <w:lang w:val="el-GR"/>
          <w14:ligatures w14:val="none"/>
        </w:rPr>
      </w:pPr>
      <w:r>
        <w:rPr>
          <w:rFonts w:eastAsia="Times New Roman" w:cs="Open Sans" w:ascii="Open Sans" w:hAnsi="Open Sans"/>
          <w:kern w:val="0"/>
          <w:lang w:val="el-GR"/>
          <w14:ligatures w14:val="none"/>
        </w:rPr>
        <w:t xml:space="preserve">Ο "Οδηγός Υφιστάμενων Καλών Πρακτικών Συνδυασμού Κεφαλαίων &amp; Ανάλυσης Βασικών Εμποδίων Συνδυασμού Κεφαλαίων" περιλαμβάνει έντεκα καλές πρακτικές από χώρες-εταίρους που χρησιμοποιούν διάφορα μοντέλα συμμετοχικής χρηματοδότησης (crowdfunding) (δωρεές και ανταμοιβές, επενδύσεις και άλλα εναλλακτικά χρηματοοικονομικά εργαλεία). </w:t>
      </w:r>
    </w:p>
    <w:p>
      <w:pPr>
        <w:pStyle w:val="Normal"/>
        <w:jc w:val="center"/>
        <w:rPr>
          <w:rFonts w:ascii="Open Sans" w:hAnsi="Open Sans" w:eastAsia="Times New Roman" w:cs="Open Sans"/>
          <w:kern w:val="0"/>
          <w:lang w:val="el-GR"/>
          <w14:ligatures w14:val="none"/>
        </w:rPr>
      </w:pPr>
      <w:r>
        <w:rPr/>
        <w:drawing>
          <wp:inline distT="0" distB="0" distL="0" distR="0">
            <wp:extent cx="4996180" cy="2810510"/>
            <wp:effectExtent l="0" t="0" r="0" b="0"/>
            <wp:docPr id="3" name="Γραφικό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Γραφικό 1" descr=""/>
                    <pic:cNvPicPr>
                      <a:picLocks noChangeAspect="1" noChangeArrowheads="1"/>
                    </pic:cNvPicPr>
                  </pic:nvPicPr>
                  <pic:blipFill>
                    <a:blip r:embed="rId2"/>
                    <a:stretch>
                      <a:fillRect/>
                    </a:stretch>
                  </pic:blipFill>
                  <pic:spPr bwMode="auto">
                    <a:xfrm>
                      <a:off x="0" y="0"/>
                      <a:ext cx="4996180" cy="2810510"/>
                    </a:xfrm>
                    <a:prstGeom prst="rect">
                      <a:avLst/>
                    </a:prstGeom>
                  </pic:spPr>
                </pic:pic>
              </a:graphicData>
            </a:graphic>
          </wp:inline>
        </w:drawing>
      </w:r>
    </w:p>
    <w:p>
      <w:pPr>
        <w:pStyle w:val="Normal"/>
        <w:jc w:val="both"/>
        <w:rPr>
          <w:rFonts w:ascii="Open Sans" w:hAnsi="Open Sans" w:eastAsia="Times New Roman" w:cs="Open Sans"/>
          <w:kern w:val="0"/>
          <w:lang w:val="el-GR"/>
          <w14:ligatures w14:val="none"/>
        </w:rPr>
      </w:pPr>
      <w:r>
        <w:rPr>
          <w:rFonts w:eastAsia="Times New Roman" w:cs="Open Sans" w:ascii="Open Sans" w:hAnsi="Open Sans"/>
          <w:kern w:val="0"/>
          <w:lang w:val="el-GR"/>
          <w14:ligatures w14:val="none"/>
        </w:rPr>
        <w:t>Εκτός από την παρουσίαση καλών πρακτικών, οι εταίροι του έργου με περιορισμένες ή καθόλου καλές πρακτικές συνδυασμού κεφαλαίων διαθέσιμες στις χώρες τους (Ελλάδα, Λιθουανία, Πολωνία, Ρουμανία) μοιράστηκαν γνώσεις και εμπειρίες σχετικά με τους τρέχοντες φραγμούς της αγοράς συνδυασμού κεφαλαίων και παρουσίασαν πιθανές απαιτούμενες διορθωτικές ενέργειες. Τα βασικά εμπόδια συνδυασμού κεφαλαίων που αποκαλύφθηκαν περιλαμβάνουν την έλλειψη γνώσης και ενημέρωσης σχετικά με τη συμμετοχική χρηματοδότηση και το συνδυασμό κεφαλαίων μεταξύ των δικαιούχων ομάδων-στόχων (καινοτόμες εταιρείες, νεοφυείς επιχειρήσεις και ΜΜΕ) και των διαχειριστικών αρχών, έλλειψη πολιτικής υποστήριξης, χαμηλή εμπιστοσύνη, διαφάνεια και κουλτούρα συνεργασίας στον τομέα της χρήσης δημόσιων πόρων και χαμηλή χρήση ψηφιακών υπηρεσιών.</w:t>
      </w:r>
    </w:p>
    <w:p>
      <w:pPr>
        <w:pStyle w:val="Normal"/>
        <w:jc w:val="center"/>
        <w:rPr>
          <w:rFonts w:ascii="Open Sans" w:hAnsi="Open Sans" w:eastAsia="Times New Roman" w:cs="Open Sans"/>
          <w:kern w:val="0"/>
          <w:lang w:val="el-GR"/>
          <w14:ligatures w14:val="none"/>
        </w:rPr>
      </w:pPr>
      <w:r>
        <w:rPr/>
        <w:drawing>
          <wp:inline distT="0" distB="0" distL="0" distR="0">
            <wp:extent cx="3766185" cy="3255010"/>
            <wp:effectExtent l="0" t="0" r="0" b="0"/>
            <wp:docPr id="4" name="Εικόνα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3" descr=""/>
                    <pic:cNvPicPr>
                      <a:picLocks noChangeAspect="1" noChangeArrowheads="1"/>
                    </pic:cNvPicPr>
                  </pic:nvPicPr>
                  <pic:blipFill>
                    <a:blip r:embed="rId3"/>
                    <a:stretch>
                      <a:fillRect/>
                    </a:stretch>
                  </pic:blipFill>
                  <pic:spPr bwMode="auto">
                    <a:xfrm>
                      <a:off x="0" y="0"/>
                      <a:ext cx="3766185" cy="3255010"/>
                    </a:xfrm>
                    <a:prstGeom prst="rect">
                      <a:avLst/>
                    </a:prstGeom>
                  </pic:spPr>
                </pic:pic>
              </a:graphicData>
            </a:graphic>
          </wp:inline>
        </w:drawing>
      </w:r>
    </w:p>
    <w:p>
      <w:pPr>
        <w:pStyle w:val="Normal"/>
        <w:jc w:val="center"/>
        <w:rPr>
          <w:rFonts w:ascii="Open Sans" w:hAnsi="Open Sans" w:eastAsia="Times New Roman" w:cs="Open Sans"/>
          <w:kern w:val="0"/>
          <w:lang w:val="en-GB"/>
          <w14:ligatures w14:val="none"/>
        </w:rPr>
      </w:pPr>
      <w:r>
        <w:rPr>
          <w:rFonts w:eastAsia="Times New Roman" w:cs="Open Sans" w:ascii="Open Sans" w:hAnsi="Open Sans"/>
          <w:kern w:val="0"/>
          <w:lang w:val="en-GB"/>
          <w14:ligatures w14:val="none"/>
        </w:rPr>
      </w:r>
    </w:p>
    <w:p>
      <w:pPr>
        <w:pStyle w:val="Normal"/>
        <w:jc w:val="both"/>
        <w:rPr>
          <w:rFonts w:ascii="Open Sans" w:hAnsi="Open Sans" w:eastAsia="Times New Roman" w:cs="Open Sans"/>
          <w:kern w:val="0"/>
          <w:lang w:val="el-GR"/>
          <w14:ligatures w14:val="none"/>
        </w:rPr>
      </w:pPr>
      <w:r>
        <w:rPr>
          <w:rFonts w:eastAsia="Times New Roman" w:cs="Open Sans" w:ascii="Open Sans" w:hAnsi="Open Sans"/>
          <w:kern w:val="0"/>
          <w:lang w:val="el-GR"/>
          <w14:ligatures w14:val="none"/>
        </w:rPr>
        <w:t xml:space="preserve">Αυτή η ολοκληρωμένη επισκόπηση σηματοδοτεί το δεύτερο βήμα για την εκμάθηση και την ανταλλαγή γνώσεων σχετικά με τη συμμετοχική χρηματοδότηση. Οι πληροφορίες που συλλέχθηκαν υποστηρίζουν την ανάπτυξη μιας κοινής μεθοδολογίας για το σύστημα συνδυασμού κεφαλαίων, την προετοιμασία πιλοτικών έργων και την καθοδήγηση από ομοτίμους (peer-to-peer mentoring). </w:t>
      </w:r>
    </w:p>
    <w:p>
      <w:pPr>
        <w:pStyle w:val="Normal"/>
        <w:jc w:val="both"/>
        <w:rPr>
          <w:rFonts w:ascii="Open Sans" w:hAnsi="Open Sans" w:eastAsia="Times New Roman" w:cs="Open Sans"/>
          <w:kern w:val="0"/>
          <w:lang w:val="el-GR"/>
          <w14:ligatures w14:val="none"/>
        </w:rPr>
      </w:pPr>
      <w:r>
        <w:rPr>
          <w:rFonts w:eastAsia="Times New Roman" w:cs="Open Sans" w:ascii="Open Sans" w:hAnsi="Open Sans"/>
          <w:kern w:val="0"/>
          <w:lang w:val="el-GR"/>
          <w14:ligatures w14:val="none"/>
        </w:rPr>
        <w:t xml:space="preserve">Σε αυτό το ηλεκτρονικό ενημερωτικό δελτίο, συνοψίσαμε τα κυριότερα σημεία τριών καλών πρακτικών συνδυασμού κεφαλαίων. Ο πλήρης Οδηγός είναι διαθέσιμος στην ιστοσελίδα του έργου μας: </w:t>
      </w:r>
      <w:hyperlink r:id="rId4">
        <w:r>
          <w:rPr>
            <w:rFonts w:eastAsia="Times New Roman" w:cs="Open Sans" w:ascii="Open Sans" w:hAnsi="Open Sans"/>
            <w:kern w:val="0"/>
            <w:lang w:val="en-GB"/>
            <w14:ligatures w14:val="none"/>
          </w:rPr>
          <w:t>https</w:t>
        </w:r>
        <w:r>
          <w:rPr>
            <w:rFonts w:eastAsia="Times New Roman" w:cs="Open Sans" w:ascii="Open Sans" w:hAnsi="Open Sans"/>
            <w:kern w:val="0"/>
            <w:lang w:val="el-GR"/>
            <w14:ligatures w14:val="none"/>
          </w:rPr>
          <w:t>://</w:t>
        </w:r>
        <w:r>
          <w:rPr>
            <w:rFonts w:eastAsia="Times New Roman" w:cs="Open Sans" w:ascii="Open Sans" w:hAnsi="Open Sans"/>
            <w:kern w:val="0"/>
            <w:lang w:val="en-GB"/>
            <w14:ligatures w14:val="none"/>
          </w:rPr>
          <w:t>www</w:t>
        </w:r>
        <w:r>
          <w:rPr>
            <w:rFonts w:eastAsia="Times New Roman" w:cs="Open Sans" w:ascii="Open Sans" w:hAnsi="Open Sans"/>
            <w:kern w:val="0"/>
            <w:lang w:val="el-GR"/>
            <w14:ligatures w14:val="none"/>
          </w:rPr>
          <w:t>.</w:t>
        </w:r>
        <w:r>
          <w:rPr>
            <w:rFonts w:eastAsia="Times New Roman" w:cs="Open Sans" w:ascii="Open Sans" w:hAnsi="Open Sans"/>
            <w:kern w:val="0"/>
            <w:lang w:val="en-GB"/>
            <w14:ligatures w14:val="none"/>
          </w:rPr>
          <w:t>interregeurope</w:t>
        </w:r>
        <w:r>
          <w:rPr>
            <w:rFonts w:eastAsia="Times New Roman" w:cs="Open Sans" w:ascii="Open Sans" w:hAnsi="Open Sans"/>
            <w:kern w:val="0"/>
            <w:lang w:val="el-GR"/>
            <w14:ligatures w14:val="none"/>
          </w:rPr>
          <w:t>.</w:t>
        </w:r>
        <w:r>
          <w:rPr>
            <w:rFonts w:eastAsia="Times New Roman" w:cs="Open Sans" w:ascii="Open Sans" w:hAnsi="Open Sans"/>
            <w:kern w:val="0"/>
            <w:lang w:val="en-GB"/>
            <w14:ligatures w14:val="none"/>
          </w:rPr>
          <w:t>eu</w:t>
        </w:r>
        <w:r>
          <w:rPr>
            <w:rFonts w:eastAsia="Times New Roman" w:cs="Open Sans" w:ascii="Open Sans" w:hAnsi="Open Sans"/>
            <w:kern w:val="0"/>
            <w:lang w:val="el-GR"/>
            <w14:ligatures w14:val="none"/>
          </w:rPr>
          <w:t>/</w:t>
        </w:r>
        <w:r>
          <w:rPr>
            <w:rFonts w:eastAsia="Times New Roman" w:cs="Open Sans" w:ascii="Open Sans" w:hAnsi="Open Sans"/>
            <w:kern w:val="0"/>
            <w:lang w:val="en-GB"/>
            <w14:ligatures w14:val="none"/>
          </w:rPr>
          <w:t>crowdfundmatch</w:t>
        </w:r>
        <w:r>
          <w:rPr>
            <w:rFonts w:eastAsia="Times New Roman" w:cs="Open Sans" w:ascii="Open Sans" w:hAnsi="Open Sans"/>
            <w:kern w:val="0"/>
            <w:lang w:val="el-GR"/>
            <w14:ligatures w14:val="none"/>
          </w:rPr>
          <w:t>/</w:t>
        </w:r>
        <w:r>
          <w:rPr>
            <w:rFonts w:eastAsia="Times New Roman" w:cs="Open Sans" w:ascii="Open Sans" w:hAnsi="Open Sans"/>
            <w:kern w:val="0"/>
            <w:lang w:val="en-GB"/>
            <w14:ligatures w14:val="none"/>
          </w:rPr>
          <w:t>library</w:t>
        </w:r>
      </w:hyperlink>
      <w:r>
        <w:rPr>
          <w:rFonts w:eastAsia="Times New Roman" w:cs="Open Sans" w:ascii="Open Sans" w:hAnsi="Open Sans"/>
          <w:kern w:val="0"/>
          <w:lang w:val="el-GR"/>
          <w14:ligatures w14:val="none"/>
        </w:rPr>
        <w:t>.</w:t>
      </w:r>
    </w:p>
    <w:p>
      <w:pPr>
        <w:pStyle w:val="Normal"/>
        <w:jc w:val="both"/>
        <w:rPr/>
      </w:pPr>
      <w:r>
        <w:rPr/>
      </w:r>
    </w:p>
    <w:p>
      <w:pPr>
        <w:pStyle w:val="Normal"/>
        <w:spacing w:lineRule="auto" w:line="276"/>
        <w:jc w:val="both"/>
        <w:rPr>
          <w:rFonts w:ascii="Open Sans" w:hAnsi="Open Sans" w:eastAsia="Aptos" w:cs="Open Sans"/>
          <w:b/>
          <w:b/>
          <w:bCs/>
          <w:color w:val="00A984"/>
          <w:sz w:val="24"/>
          <w:szCs w:val="24"/>
          <w:lang w:val="el-GR"/>
        </w:rPr>
      </w:pPr>
      <w:r>
        <w:rPr>
          <w:rFonts w:eastAsia="Aptos" w:cs="Open Sans" w:ascii="Open Sans" w:hAnsi="Open Sans"/>
          <w:b/>
          <w:bCs/>
          <w:color w:val="00A984"/>
          <w:sz w:val="24"/>
          <w:szCs w:val="24"/>
          <w:lang w:val="en-GB"/>
        </w:rPr>
        <w:t>Civic</w:t>
      </w:r>
      <w:r>
        <w:rPr>
          <w:rFonts w:eastAsia="Aptos" w:cs="Open Sans" w:ascii="Open Sans" w:hAnsi="Open Sans"/>
          <w:b/>
          <w:bCs/>
          <w:color w:val="00A984"/>
          <w:sz w:val="24"/>
          <w:szCs w:val="24"/>
          <w:lang w:val="el-GR"/>
        </w:rPr>
        <w:t xml:space="preserve"> </w:t>
      </w:r>
      <w:r>
        <w:rPr>
          <w:rFonts w:eastAsia="Aptos" w:cs="Open Sans" w:ascii="Open Sans" w:hAnsi="Open Sans"/>
          <w:b/>
          <w:bCs/>
          <w:color w:val="00A984"/>
          <w:sz w:val="24"/>
          <w:szCs w:val="24"/>
          <w:lang w:val="en-GB"/>
        </w:rPr>
        <w:t>Crowdfunding</w:t>
      </w:r>
      <w:r>
        <w:rPr>
          <w:rFonts w:eastAsia="Aptos" w:cs="Open Sans" w:ascii="Open Sans" w:hAnsi="Open Sans"/>
          <w:b/>
          <w:bCs/>
          <w:color w:val="00A984"/>
          <w:sz w:val="24"/>
          <w:szCs w:val="24"/>
          <w:lang w:val="el-GR"/>
        </w:rPr>
        <w:t xml:space="preserve"> </w:t>
      </w:r>
      <w:r>
        <w:rPr>
          <w:rFonts w:eastAsia="Aptos" w:cs="Open Sans" w:ascii="Open Sans" w:hAnsi="Open Sans"/>
          <w:b/>
          <w:bCs/>
          <w:color w:val="00A984"/>
          <w:sz w:val="24"/>
          <w:szCs w:val="24"/>
          <w:lang w:val="en-GB"/>
        </w:rPr>
        <w:t>Milan</w:t>
      </w:r>
      <w:r>
        <w:rPr>
          <w:rFonts w:eastAsia="Aptos" w:cs="Open Sans" w:ascii="Open Sans" w:hAnsi="Open Sans"/>
          <w:b/>
          <w:bCs/>
          <w:color w:val="00A984"/>
          <w:sz w:val="24"/>
          <w:szCs w:val="24"/>
          <w:lang w:val="el-GR"/>
        </w:rPr>
        <w:t xml:space="preserve"> (Αστική Συμμετοχική Χρηματοδότηση στο Μιλάνο): Ενδυνάμωση των Τοπικών Κοινοτήτων</w:t>
      </w:r>
    </w:p>
    <w:p>
      <w:pPr>
        <w:pStyle w:val="Normal"/>
        <w:spacing w:lineRule="auto" w:line="276"/>
        <w:jc w:val="both"/>
        <w:rPr>
          <w:rFonts w:ascii="Open Sans" w:hAnsi="Open Sans" w:eastAsia="Aptos" w:cs="Open Sans"/>
          <w:lang w:val="el-GR"/>
        </w:rPr>
      </w:pPr>
      <w:r>
        <w:rPr>
          <w:rFonts w:eastAsia="Aptos" w:cs="Open Sans" w:ascii="Open Sans" w:hAnsi="Open Sans"/>
          <w:lang w:val="el-GR"/>
        </w:rPr>
        <w:t>Από το 2015, ο Δήμος του Μιλάνου πρωτοστάτησε στην πρώτη αστική πρωτοβουλία συμμετοχικής χρηματοδότησης της Ιταλίας, χρηματοδοτώντας κοινωνικά και πολιτιστικά έργα μέσω μικρο-δωρεών των πολιτών. Αυτό το καινοτόμο πρόγραμμα στοχεύει στην προώθηση κοινωνικο-πολιτιστικών υπηρεσιών στις γειτονιές του Μιλάνου, ευθυγραμμιζόμενο με την ιδέα της «πόλης των 15 λεπτών», όπου οι βασικές υπηρεσίες βρίσκονται σε μικρή απόσταση από το σπίτι.</w:t>
      </w:r>
    </w:p>
    <w:p>
      <w:pPr>
        <w:pStyle w:val="Normal"/>
        <w:spacing w:lineRule="auto" w:line="276" w:before="0" w:after="0"/>
        <w:jc w:val="both"/>
        <w:rPr>
          <w:rFonts w:ascii="Open Sans" w:hAnsi="Open Sans" w:eastAsia="Aptos" w:cs="Open Sans"/>
          <w:b/>
          <w:b/>
          <w:bCs/>
          <w:lang w:val="en-GB"/>
        </w:rPr>
      </w:pPr>
      <w:r>
        <w:rPr>
          <w:rFonts w:eastAsia="Aptos" w:cs="Open Sans" w:ascii="Open Sans" w:hAnsi="Open Sans"/>
          <w:b/>
          <w:bCs/>
          <w:lang w:val="el-GR"/>
        </w:rPr>
        <w:t>Βασικά σημεία</w:t>
      </w:r>
      <w:r>
        <w:rPr>
          <w:rFonts w:eastAsia="Aptos" w:cs="Open Sans" w:ascii="Open Sans" w:hAnsi="Open Sans"/>
          <w:b/>
          <w:bCs/>
          <w:lang w:val="en-GB"/>
        </w:rPr>
        <w:t>:</w:t>
      </w:r>
    </w:p>
    <w:p>
      <w:pPr>
        <w:pStyle w:val="Normal"/>
        <w:numPr>
          <w:ilvl w:val="0"/>
          <w:numId w:val="3"/>
        </w:numPr>
        <w:spacing w:lineRule="auto" w:line="276" w:before="0" w:after="0"/>
        <w:jc w:val="both"/>
        <w:rPr>
          <w:rFonts w:ascii="Open Sans" w:hAnsi="Open Sans" w:eastAsia="Aptos" w:cs="Open Sans"/>
          <w:b/>
          <w:b/>
          <w:bCs/>
          <w:lang w:val="el-GR"/>
        </w:rPr>
      </w:pPr>
      <w:r>
        <w:rPr>
          <w:rFonts w:eastAsia="Aptos" w:cs="Open Sans" w:ascii="Open Sans" w:hAnsi="Open Sans"/>
          <w:b/>
          <w:bCs/>
          <w:lang w:val="el-GR"/>
        </w:rPr>
        <w:t xml:space="preserve">Σύστημα μοντέλου συνδυασμού κεφαλαίων: </w:t>
      </w:r>
      <w:r>
        <w:rPr>
          <w:rFonts w:eastAsia="Aptos" w:cs="Open Sans" w:ascii="Open Sans" w:hAnsi="Open Sans"/>
          <w:lang w:val="el-GR"/>
        </w:rPr>
        <w:t>Σύστημα συμμετοχικής χρηματοδότησης βάσει δωρεών.</w:t>
      </w:r>
    </w:p>
    <w:p>
      <w:pPr>
        <w:pStyle w:val="Normal"/>
        <w:numPr>
          <w:ilvl w:val="0"/>
          <w:numId w:val="3"/>
        </w:numPr>
        <w:spacing w:lineRule="auto" w:line="276" w:before="0" w:after="0"/>
        <w:jc w:val="both"/>
        <w:rPr>
          <w:rFonts w:ascii="Open Sans" w:hAnsi="Open Sans" w:eastAsia="Aptos" w:cs="Open Sans"/>
          <w:lang w:val="el-GR"/>
        </w:rPr>
      </w:pPr>
      <w:r>
        <w:rPr>
          <w:rFonts w:eastAsia="Aptos" w:cs="Open Sans" w:ascii="Open Sans" w:hAnsi="Open Sans"/>
          <w:b/>
          <w:bCs/>
          <w:lang w:val="el-GR"/>
        </w:rPr>
        <w:t>Μοντέλο χρηματοδότησης:</w:t>
      </w:r>
      <w:r>
        <w:rPr>
          <w:rFonts w:eastAsia="Aptos" w:cs="Open Sans" w:ascii="Open Sans" w:hAnsi="Open Sans"/>
          <w:lang w:val="el-GR"/>
        </w:rPr>
        <w:t xml:space="preserve"> Οι οργανισμοί του τρίτου τομέα προτείνουν έργα κόστους 20.000-80.000 €. Οι εκστρατείες συμμετοχικής χρηματοδότησης πρέπει να φτάσουν το 40% του κόστους του έργου, με το δήμο να συνεισφέρει το υπόλοιπο 60%, έως και 48.000 €.</w:t>
      </w:r>
    </w:p>
    <w:p>
      <w:pPr>
        <w:pStyle w:val="Normal"/>
        <w:numPr>
          <w:ilvl w:val="0"/>
          <w:numId w:val="3"/>
        </w:numPr>
        <w:spacing w:lineRule="auto" w:line="276" w:before="0" w:after="0"/>
        <w:jc w:val="both"/>
        <w:rPr>
          <w:rFonts w:ascii="Open Sans" w:hAnsi="Open Sans" w:eastAsia="Aptos" w:cs="Open Sans"/>
          <w:lang w:val="el-GR"/>
        </w:rPr>
      </w:pPr>
      <w:r>
        <w:rPr>
          <w:rFonts w:eastAsia="Aptos" w:cs="Open Sans" w:ascii="Open Sans" w:hAnsi="Open Sans"/>
          <w:b/>
          <w:bCs/>
          <w:lang w:val="el-GR"/>
        </w:rPr>
        <w:t xml:space="preserve">Αντίκτυπος: </w:t>
      </w:r>
      <w:r>
        <w:rPr>
          <w:rFonts w:eastAsia="Aptos" w:cs="Open Sans" w:ascii="Open Sans" w:hAnsi="Open Sans"/>
          <w:lang w:val="el-GR"/>
        </w:rPr>
        <w:t xml:space="preserve"> Σε δύο εκδόσεις, χρηματοδοτήθηκαν 35 έργα και συγκεντρώθηκαν πάνω από 650.000 €. </w:t>
      </w:r>
    </w:p>
    <w:p>
      <w:pPr>
        <w:pStyle w:val="Normal"/>
        <w:numPr>
          <w:ilvl w:val="0"/>
          <w:numId w:val="3"/>
        </w:numPr>
        <w:spacing w:lineRule="auto" w:line="276" w:before="0" w:after="0"/>
        <w:jc w:val="both"/>
        <w:rPr>
          <w:rFonts w:ascii="Open Sans" w:hAnsi="Open Sans" w:eastAsia="Aptos" w:cs="Open Sans"/>
          <w:lang w:val="el-GR"/>
        </w:rPr>
      </w:pPr>
      <w:r>
        <w:rPr>
          <w:rFonts w:eastAsia="Aptos" w:cs="Open Sans" w:ascii="Open Sans" w:hAnsi="Open Sans"/>
          <w:b/>
          <w:bCs/>
          <w:lang w:val="el-GR"/>
        </w:rPr>
        <w:t>Πόροι:</w:t>
      </w:r>
      <w:r>
        <w:rPr>
          <w:rFonts w:eastAsia="Aptos" w:cs="Open Sans" w:ascii="Open Sans" w:hAnsi="Open Sans"/>
          <w:lang w:val="el-GR"/>
        </w:rPr>
        <w:t xml:space="preserve"> Χρηματοδοτείται από το Ευρωπαϊκό Κοινωνικό Ταμείο μέσω του </w:t>
      </w:r>
      <w:r>
        <w:rPr>
          <w:rFonts w:eastAsia="Aptos" w:cs="Open Sans" w:ascii="Open Sans" w:hAnsi="Open Sans"/>
          <w:lang w:val="en-GB"/>
        </w:rPr>
        <w:t>PON</w:t>
      </w:r>
      <w:r>
        <w:rPr>
          <w:rFonts w:eastAsia="Aptos" w:cs="Open Sans" w:ascii="Open Sans" w:hAnsi="Open Sans"/>
          <w:lang w:val="el-GR"/>
        </w:rPr>
        <w:t xml:space="preserve"> </w:t>
      </w:r>
      <w:r>
        <w:rPr>
          <w:rFonts w:eastAsia="Aptos" w:cs="Open Sans" w:ascii="Open Sans" w:hAnsi="Open Sans"/>
          <w:lang w:val="en-GB"/>
        </w:rPr>
        <w:t>METRO</w:t>
      </w:r>
      <w:r>
        <w:rPr>
          <w:rFonts w:eastAsia="Aptos" w:cs="Open Sans" w:ascii="Open Sans" w:hAnsi="Open Sans"/>
          <w:lang w:val="el-GR"/>
        </w:rPr>
        <w:t xml:space="preserve"> </w:t>
      </w:r>
      <w:r>
        <w:rPr>
          <w:rFonts w:eastAsia="Aptos" w:cs="Open Sans" w:ascii="Open Sans" w:hAnsi="Open Sans"/>
          <w:lang w:val="en-GB"/>
        </w:rPr>
        <w:t>Milan</w:t>
      </w:r>
      <w:r>
        <w:rPr>
          <w:rFonts w:eastAsia="Aptos" w:cs="Open Sans" w:ascii="Open Sans" w:hAnsi="Open Sans"/>
          <w:lang w:val="el-GR"/>
        </w:rPr>
        <w:t xml:space="preserve"> 2014-2020, συνολικού ύψους 442.831,95 €.</w:t>
      </w:r>
    </w:p>
    <w:p>
      <w:pPr>
        <w:pStyle w:val="Normal"/>
        <w:numPr>
          <w:ilvl w:val="0"/>
          <w:numId w:val="3"/>
        </w:numPr>
        <w:spacing w:lineRule="auto" w:line="276" w:before="0" w:after="0"/>
        <w:jc w:val="both"/>
        <w:rPr>
          <w:rFonts w:ascii="Open Sans" w:hAnsi="Open Sans" w:eastAsia="Aptos" w:cs="Open Sans"/>
          <w:lang w:val="en-US"/>
        </w:rPr>
      </w:pPr>
      <w:r>
        <w:rPr>
          <w:rFonts w:eastAsia="Aptos" w:cs="Open Sans" w:ascii="Open Sans" w:hAnsi="Open Sans"/>
          <w:b/>
          <w:bCs/>
          <w:lang w:val="el-GR"/>
        </w:rPr>
        <w:t>Αναγνώριση</w:t>
      </w:r>
      <w:r>
        <w:rPr>
          <w:rFonts w:eastAsia="Aptos" w:cs="Open Sans" w:ascii="Open Sans" w:hAnsi="Open Sans"/>
          <w:b/>
          <w:bCs/>
          <w:lang w:val="en-US"/>
        </w:rPr>
        <w:t>:</w:t>
      </w:r>
      <w:r>
        <w:rPr>
          <w:rFonts w:eastAsia="Aptos" w:cs="Open Sans" w:ascii="Open Sans" w:hAnsi="Open Sans"/>
          <w:lang w:val="en-US"/>
        </w:rPr>
        <w:t xml:space="preserve"> </w:t>
      </w:r>
      <w:r>
        <w:rPr>
          <w:rFonts w:eastAsia="Aptos" w:cs="Open Sans" w:ascii="Open Sans" w:hAnsi="Open Sans"/>
          <w:lang w:val="el-GR"/>
        </w:rPr>
        <w:t>Κέρδισε</w:t>
      </w:r>
      <w:r>
        <w:rPr>
          <w:rFonts w:eastAsia="Aptos" w:cs="Open Sans" w:ascii="Open Sans" w:hAnsi="Open Sans"/>
          <w:lang w:val="en-US"/>
        </w:rPr>
        <w:t xml:space="preserve"> </w:t>
      </w:r>
      <w:r>
        <w:rPr>
          <w:rFonts w:eastAsia="Aptos" w:cs="Open Sans" w:ascii="Open Sans" w:hAnsi="Open Sans"/>
          <w:lang w:val="el-GR"/>
        </w:rPr>
        <w:t>τα</w:t>
      </w:r>
      <w:r>
        <w:rPr>
          <w:rFonts w:eastAsia="Aptos" w:cs="Open Sans" w:ascii="Open Sans" w:hAnsi="Open Sans"/>
          <w:lang w:val="en-US"/>
        </w:rPr>
        <w:t xml:space="preserve"> </w:t>
      </w:r>
      <w:r>
        <w:rPr>
          <w:rFonts w:eastAsia="Aptos" w:cs="Open Sans" w:ascii="Open Sans" w:hAnsi="Open Sans"/>
          <w:lang w:val="el-GR"/>
        </w:rPr>
        <w:t>βραβεία</w:t>
      </w:r>
      <w:r>
        <w:rPr>
          <w:rFonts w:eastAsia="Aptos" w:cs="Open Sans" w:ascii="Open Sans" w:hAnsi="Open Sans"/>
          <w:lang w:val="en-US"/>
        </w:rPr>
        <w:t xml:space="preserve"> </w:t>
      </w:r>
      <w:r>
        <w:rPr>
          <w:rFonts w:eastAsia="Aptos" w:cs="Open Sans" w:ascii="Open Sans" w:hAnsi="Open Sans"/>
          <w:lang w:val="en-GB"/>
        </w:rPr>
        <w:t>Wellbeing</w:t>
      </w:r>
      <w:r>
        <w:rPr>
          <w:rFonts w:eastAsia="Aptos" w:cs="Open Sans" w:ascii="Open Sans" w:hAnsi="Open Sans"/>
          <w:lang w:val="en-US"/>
        </w:rPr>
        <w:t xml:space="preserve"> </w:t>
      </w:r>
      <w:r>
        <w:rPr>
          <w:rFonts w:eastAsia="Aptos" w:cs="Open Sans" w:ascii="Open Sans" w:hAnsi="Open Sans"/>
          <w:lang w:val="en-GB"/>
        </w:rPr>
        <w:t>Cities</w:t>
      </w:r>
      <w:r>
        <w:rPr>
          <w:rFonts w:eastAsia="Aptos" w:cs="Open Sans" w:ascii="Open Sans" w:hAnsi="Open Sans"/>
          <w:lang w:val="en-US"/>
        </w:rPr>
        <w:t xml:space="preserve"> </w:t>
      </w:r>
      <w:r>
        <w:rPr>
          <w:rFonts w:eastAsia="Aptos" w:cs="Open Sans" w:ascii="Open Sans" w:hAnsi="Open Sans"/>
          <w:lang w:val="en-GB"/>
        </w:rPr>
        <w:t>Award</w:t>
      </w:r>
      <w:r>
        <w:rPr>
          <w:rFonts w:eastAsia="Aptos" w:cs="Open Sans" w:ascii="Open Sans" w:hAnsi="Open Sans"/>
          <w:lang w:val="en-US"/>
        </w:rPr>
        <w:t xml:space="preserve"> (2019) </w:t>
      </w:r>
      <w:r>
        <w:rPr>
          <w:rFonts w:eastAsia="Aptos" w:cs="Open Sans" w:ascii="Open Sans" w:hAnsi="Open Sans"/>
          <w:lang w:val="el-GR"/>
        </w:rPr>
        <w:t>και</w:t>
      </w:r>
      <w:r>
        <w:rPr>
          <w:rFonts w:eastAsia="Aptos" w:cs="Open Sans" w:ascii="Open Sans" w:hAnsi="Open Sans"/>
          <w:lang w:val="en-US"/>
        </w:rPr>
        <w:t xml:space="preserve"> </w:t>
      </w:r>
      <w:r>
        <w:rPr>
          <w:rFonts w:eastAsia="Aptos" w:cs="Open Sans" w:ascii="Open Sans" w:hAnsi="Open Sans"/>
          <w:lang w:val="en-GB"/>
        </w:rPr>
        <w:t>Cresco</w:t>
      </w:r>
      <w:r>
        <w:rPr>
          <w:rFonts w:eastAsia="Aptos" w:cs="Open Sans" w:ascii="Open Sans" w:hAnsi="Open Sans"/>
          <w:lang w:val="en-US"/>
        </w:rPr>
        <w:t xml:space="preserve"> </w:t>
      </w:r>
      <w:r>
        <w:rPr>
          <w:rFonts w:eastAsia="Aptos" w:cs="Open Sans" w:ascii="Open Sans" w:hAnsi="Open Sans"/>
          <w:lang w:val="en-GB"/>
        </w:rPr>
        <w:t>Award</w:t>
      </w:r>
      <w:r>
        <w:rPr>
          <w:rFonts w:eastAsia="Aptos" w:cs="Open Sans" w:ascii="Open Sans" w:hAnsi="Open Sans"/>
          <w:lang w:val="en-US"/>
        </w:rPr>
        <w:t xml:space="preserve"> </w:t>
      </w:r>
      <w:r>
        <w:rPr>
          <w:rFonts w:eastAsia="Aptos" w:cs="Open Sans" w:ascii="Open Sans" w:hAnsi="Open Sans"/>
          <w:lang w:val="en-GB"/>
        </w:rPr>
        <w:t>Sustainable</w:t>
      </w:r>
      <w:r>
        <w:rPr>
          <w:rFonts w:eastAsia="Aptos" w:cs="Open Sans" w:ascii="Open Sans" w:hAnsi="Open Sans"/>
          <w:lang w:val="en-US"/>
        </w:rPr>
        <w:t xml:space="preserve"> </w:t>
      </w:r>
      <w:r>
        <w:rPr>
          <w:rFonts w:eastAsia="Aptos" w:cs="Open Sans" w:ascii="Open Sans" w:hAnsi="Open Sans"/>
          <w:lang w:val="en-GB"/>
        </w:rPr>
        <w:t>Cities</w:t>
      </w:r>
      <w:r>
        <w:rPr>
          <w:rFonts w:eastAsia="Aptos" w:cs="Open Sans" w:ascii="Open Sans" w:hAnsi="Open Sans"/>
          <w:lang w:val="en-US"/>
        </w:rPr>
        <w:t xml:space="preserve"> (2019 &amp; 2021).</w:t>
      </w:r>
    </w:p>
    <w:p>
      <w:pPr>
        <w:pStyle w:val="Textcrowdfundmatch"/>
        <w:spacing w:before="0" w:after="0"/>
        <w:jc w:val="both"/>
        <w:rPr/>
      </w:pPr>
      <w:r>
        <w:rPr>
          <w:b/>
          <w:bCs/>
          <w:lang w:val="el-GR"/>
        </w:rPr>
        <w:t>Πώς λειτουργεί</w:t>
      </w:r>
      <w:r>
        <w:rPr>
          <w:b/>
          <w:bCs/>
        </w:rPr>
        <w:t>:</w:t>
      </w:r>
    </w:p>
    <w:p>
      <w:pPr>
        <w:pStyle w:val="ListParagraph"/>
        <w:numPr>
          <w:ilvl w:val="0"/>
          <w:numId w:val="9"/>
        </w:numPr>
        <w:spacing w:lineRule="auto" w:line="276" w:before="0" w:after="0"/>
        <w:contextualSpacing/>
        <w:jc w:val="both"/>
        <w:rPr>
          <w:rFonts w:ascii="Open Sans" w:hAnsi="Open Sans" w:eastAsia="Aptos" w:cs="Open Sans"/>
          <w:lang w:val="el-GR"/>
        </w:rPr>
      </w:pPr>
      <w:r>
        <w:rPr>
          <w:rFonts w:eastAsia="Aptos" w:cs="Open Sans" w:ascii="Open Sans" w:hAnsi="Open Sans"/>
          <w:b/>
          <w:bCs/>
          <w:lang w:val="el-GR"/>
        </w:rPr>
        <w:t>Εκστρατεία συμμετοχικής χρηματοδότησης:</w:t>
      </w:r>
      <w:r>
        <w:rPr>
          <w:rFonts w:cs="Open Sans" w:ascii="Open Sans" w:hAnsi="Open Sans"/>
          <w:b/>
          <w:bCs/>
          <w:szCs w:val="24"/>
          <w:lang w:val="el-GR"/>
        </w:rPr>
        <w:t xml:space="preserve"> </w:t>
      </w:r>
      <w:r>
        <w:rPr>
          <w:rFonts w:cs="Open Sans" w:ascii="Open Sans" w:hAnsi="Open Sans"/>
          <w:szCs w:val="24"/>
          <w:lang w:val="el-GR"/>
        </w:rPr>
        <w:t>Σχέδιο συμμετοχικής χρηματοδότησης «Όλα ή τίποτα».</w:t>
      </w:r>
    </w:p>
    <w:p>
      <w:pPr>
        <w:pStyle w:val="Normal"/>
        <w:spacing w:lineRule="auto" w:line="276" w:before="0" w:after="0"/>
        <w:jc w:val="both"/>
        <w:rPr>
          <w:rFonts w:ascii="Open Sans" w:hAnsi="Open Sans" w:eastAsia="Aptos" w:cs="Open Sans"/>
          <w:lang w:val="el-GR"/>
        </w:rPr>
      </w:pPr>
      <w:r>
        <w:rPr>
          <w:rFonts w:cs="Open Sans" w:ascii="Open Sans" w:hAnsi="Open Sans"/>
          <w:b/>
          <w:bCs/>
          <w:szCs w:val="24"/>
          <w:lang w:val="el-GR"/>
        </w:rPr>
        <w:t>Επιλεξιμότητα:</w:t>
      </w:r>
      <w:r>
        <w:rPr>
          <w:rFonts w:eastAsia="Aptos" w:cs="Open Sans" w:ascii="Open Sans" w:hAnsi="Open Sans"/>
          <w:lang w:val="el-GR"/>
        </w:rPr>
        <w:t xml:space="preserve"> Ανοιχτή σε μη κερδοσκοπικούς οργανισμούς και κοινωνικές επιχειρήσεις. Το προτεινόμενο έργο πρέπει να πραγματοποιείται στις γειτονιές του Μιλάνου και να έχει μέγιστη διάρκεια 6 μηνών. </w:t>
      </w:r>
    </w:p>
    <w:p>
      <w:pPr>
        <w:pStyle w:val="Normal"/>
        <w:spacing w:lineRule="auto" w:line="276" w:before="0" w:after="0"/>
        <w:jc w:val="both"/>
        <w:rPr>
          <w:rFonts w:ascii="Open Sans" w:hAnsi="Open Sans" w:cs="Open Sans"/>
          <w:b/>
          <w:b/>
          <w:bCs/>
          <w:szCs w:val="24"/>
          <w:lang w:val="el-GR"/>
        </w:rPr>
      </w:pPr>
      <w:r>
        <w:rPr>
          <w:rFonts w:cs="Open Sans" w:ascii="Open Sans" w:hAnsi="Open Sans"/>
          <w:b/>
          <w:bCs/>
          <w:szCs w:val="24"/>
          <w:lang w:val="el-GR"/>
        </w:rPr>
        <w:t>Προκλήσεις &amp; Οφέλη:</w:t>
      </w:r>
    </w:p>
    <w:p>
      <w:pPr>
        <w:pStyle w:val="Normal"/>
        <w:spacing w:lineRule="auto" w:line="276" w:before="0" w:after="0"/>
        <w:jc w:val="both"/>
        <w:rPr>
          <w:rFonts w:ascii="Open Sans" w:hAnsi="Open Sans" w:eastAsia="Aptos" w:cs="Open Sans"/>
          <w:lang w:val="el-GR"/>
        </w:rPr>
      </w:pPr>
      <w:r>
        <w:rPr>
          <w:rFonts w:eastAsia="Aptos" w:cs="Open Sans" w:ascii="Open Sans" w:hAnsi="Open Sans"/>
          <w:lang w:val="el-GR"/>
        </w:rPr>
        <w:t>Ο δήμος του Μιλάνου ενεργοποίησε ή ενίσχυσε υπηρεσίες που απουσίαζαν ή ήταν ανεπαρκείς στις γειτονιές, αξιοποιώντας επιχειρήσεις που είναι ήδη εδραιωμένες στην περιοχή και το ενδιαφέρον των πολιτών. Ο συνδυασμός αυτών των δύο στοιχείων έχει αποδειχθεί ότι είναι ένα νικητήριο στοιχείο για την επιτυχία των εκστρατειών συμμετοχικής χρηματοδότησης.</w:t>
      </w:r>
    </w:p>
    <w:p>
      <w:pPr>
        <w:pStyle w:val="Normal"/>
        <w:spacing w:lineRule="auto" w:line="276" w:before="0" w:after="0"/>
        <w:jc w:val="both"/>
        <w:rPr>
          <w:rFonts w:ascii="Open Sans" w:hAnsi="Open Sans" w:eastAsia="Aptos" w:cs="Open Sans"/>
          <w:lang w:val="el-GR"/>
        </w:rPr>
      </w:pPr>
      <w:r>
        <w:rPr>
          <w:rFonts w:eastAsia="Aptos" w:cs="Segoe UI Emoji" w:ascii="Segoe UI Emoji" w:hAnsi="Segoe UI Emoji"/>
          <w:lang w:val="en-GB"/>
        </w:rPr>
        <w:t>📈</w:t>
      </w:r>
      <w:r>
        <w:rPr>
          <w:rFonts w:eastAsia="Aptos" w:cs="Open Sans" w:ascii="Open Sans" w:hAnsi="Open Sans"/>
          <w:lang w:val="el-GR"/>
        </w:rPr>
        <w:t xml:space="preserve"> </w:t>
      </w:r>
      <w:r>
        <w:rPr>
          <w:rFonts w:eastAsia="Aptos" w:cs="Open Sans" w:ascii="Open Sans" w:hAnsi="Open Sans"/>
          <w:b/>
          <w:bCs/>
          <w:lang w:val="el-GR"/>
        </w:rPr>
        <w:t>Αποτελέσματα:</w:t>
      </w:r>
      <w:r>
        <w:rPr>
          <w:rFonts w:eastAsia="Aptos" w:cs="Open Sans" w:ascii="Open Sans" w:hAnsi="Open Sans"/>
          <w:lang w:val="el-GR"/>
        </w:rPr>
        <w:t xml:space="preserve"> Βελτιωμένες υπηρεσίες στις γειτονιές του Μιλάνου και καινοτόμες ανταποκρίσεις στην κατάσταση έκτακτης ανάγκης του </w:t>
      </w:r>
      <w:r>
        <w:rPr>
          <w:rFonts w:eastAsia="Aptos" w:cs="Open Sans" w:ascii="Open Sans" w:hAnsi="Open Sans"/>
          <w:lang w:val="en-GB"/>
        </w:rPr>
        <w:t>Covid</w:t>
      </w:r>
      <w:r>
        <w:rPr>
          <w:rFonts w:eastAsia="Aptos" w:cs="Open Sans" w:ascii="Open Sans" w:hAnsi="Open Sans"/>
          <w:lang w:val="el-GR"/>
        </w:rPr>
        <w:t>-19.</w:t>
      </w:r>
    </w:p>
    <w:p>
      <w:pPr>
        <w:pStyle w:val="Normal"/>
        <w:spacing w:lineRule="auto" w:line="276" w:before="0" w:after="0"/>
        <w:jc w:val="both"/>
        <w:rPr>
          <w:rFonts w:ascii="Open Sans" w:hAnsi="Open Sans" w:eastAsia="Aptos" w:cs="Open Sans"/>
          <w:lang w:val="en-GB"/>
        </w:rPr>
      </w:pPr>
      <w:r>
        <w:rPr>
          <w:rFonts w:eastAsia="Aptos" w:cs="Segoe UI Emoji" w:ascii="Segoe UI Emoji" w:hAnsi="Segoe UI Emoji"/>
          <w:lang w:val="en-GB"/>
        </w:rPr>
        <w:t>🔗</w:t>
      </w:r>
      <w:r>
        <w:rPr>
          <w:rFonts w:eastAsia="Aptos" w:cs="Open Sans" w:ascii="Open Sans" w:hAnsi="Open Sans"/>
          <w:lang w:val="en-GB"/>
        </w:rPr>
        <w:t xml:space="preserve"> </w:t>
      </w:r>
      <w:r>
        <w:rPr>
          <w:rFonts w:eastAsia="Aptos" w:cs="Open Sans" w:ascii="Open Sans" w:hAnsi="Open Sans"/>
          <w:b/>
          <w:bCs/>
          <w:lang w:val="el-GR"/>
        </w:rPr>
        <w:t>Μάθετε</w:t>
      </w:r>
      <w:r>
        <w:rPr>
          <w:rFonts w:eastAsia="Aptos" w:cs="Open Sans" w:ascii="Open Sans" w:hAnsi="Open Sans"/>
          <w:b/>
          <w:bCs/>
          <w:lang w:val="en-US"/>
        </w:rPr>
        <w:t xml:space="preserve"> </w:t>
      </w:r>
      <w:r>
        <w:rPr>
          <w:rFonts w:eastAsia="Aptos" w:cs="Open Sans" w:ascii="Open Sans" w:hAnsi="Open Sans"/>
          <w:b/>
          <w:bCs/>
          <w:lang w:val="el-GR"/>
        </w:rPr>
        <w:t>περισσότερα</w:t>
      </w:r>
      <w:r>
        <w:rPr>
          <w:rFonts w:eastAsia="Aptos" w:cs="Open Sans" w:ascii="Open Sans" w:hAnsi="Open Sans"/>
          <w:b/>
          <w:bCs/>
          <w:lang w:val="en-GB"/>
        </w:rPr>
        <w:t>:</w:t>
      </w:r>
      <w:r>
        <w:rPr>
          <w:rFonts w:eastAsia="Aptos" w:cs="Open Sans" w:ascii="Open Sans" w:hAnsi="Open Sans"/>
          <w:lang w:val="en-GB"/>
        </w:rPr>
        <w:t xml:space="preserve"> </w:t>
      </w:r>
      <w:hyperlink r:id="rId5" w:tgtFrame="_new">
        <w:r>
          <w:rPr>
            <w:rFonts w:eastAsia="Aptos" w:cs="Open Sans" w:ascii="Open Sans" w:hAnsi="Open Sans"/>
            <w:color w:val="467886"/>
            <w:u w:val="single"/>
            <w:lang w:val="en-GB"/>
          </w:rPr>
          <w:t>Milan Civic Crowdfunding Projects</w:t>
        </w:r>
      </w:hyperlink>
    </w:p>
    <w:p>
      <w:pPr>
        <w:pStyle w:val="Normal"/>
        <w:rPr>
          <w:rFonts w:ascii="Open Sans" w:hAnsi="Open Sans" w:cs="Open Sans"/>
          <w:szCs w:val="24"/>
          <w:lang w:val="en-GB"/>
        </w:rPr>
      </w:pPr>
      <w:r>
        <w:rPr>
          <w:rFonts w:cs="Open Sans" w:ascii="Open Sans" w:hAnsi="Open Sans"/>
          <w:szCs w:val="24"/>
          <w:lang w:val="en-GB"/>
        </w:rPr>
      </w:r>
      <w:r>
        <w:br w:type="page"/>
      </w:r>
    </w:p>
    <w:p>
      <w:pPr>
        <w:pStyle w:val="Textcrowdfundmatch"/>
        <w:jc w:val="both"/>
        <w:rPr>
          <w:rFonts w:eastAsia="Aptos"/>
          <w:b/>
          <w:b/>
          <w:bCs/>
          <w:color w:val="00A984"/>
          <w:sz w:val="24"/>
          <w:lang w:val="el-GR"/>
        </w:rPr>
      </w:pPr>
      <w:r>
        <w:rPr>
          <w:rFonts w:eastAsia="Aptos"/>
          <w:b/>
          <w:bCs/>
          <w:color w:val="00A984"/>
          <w:sz w:val="24"/>
        </w:rPr>
        <w:t>Socrowd</w:t>
      </w:r>
      <w:r>
        <w:rPr>
          <w:rFonts w:eastAsia="Aptos"/>
          <w:b/>
          <w:bCs/>
          <w:color w:val="00A984"/>
          <w:sz w:val="24"/>
          <w:lang w:val="el-GR"/>
        </w:rPr>
        <w:t xml:space="preserve"> </w:t>
      </w:r>
      <w:r>
        <w:rPr>
          <w:rFonts w:eastAsia="Aptos"/>
          <w:b/>
          <w:bCs/>
          <w:color w:val="00A984"/>
          <w:sz w:val="24"/>
        </w:rPr>
        <w:t>CVSO</w:t>
      </w:r>
      <w:r>
        <w:rPr>
          <w:rFonts w:eastAsia="Aptos"/>
          <w:b/>
          <w:bCs/>
          <w:color w:val="00A984"/>
          <w:sz w:val="24"/>
          <w:lang w:val="el-GR"/>
        </w:rPr>
        <w:t xml:space="preserve">: Οδηγώντας την κοινωνική αλλαγή μέσω δίκαιων επενδύσεων στο Βέλγιο </w:t>
      </w:r>
    </w:p>
    <w:p>
      <w:pPr>
        <w:pStyle w:val="Textcrowdfundmatch"/>
        <w:spacing w:lineRule="auto" w:line="276" w:before="0" w:after="0"/>
        <w:jc w:val="both"/>
        <w:rPr>
          <w:lang w:val="el-GR"/>
        </w:rPr>
      </w:pPr>
      <w:r>
        <w:rPr>
          <w:lang w:val="el-GR"/>
        </w:rPr>
        <w:t xml:space="preserve">Η </w:t>
      </w:r>
      <w:r>
        <w:rPr/>
        <w:t>Socrowd</w:t>
      </w:r>
      <w:r>
        <w:rPr>
          <w:lang w:val="el-GR"/>
        </w:rPr>
        <w:t xml:space="preserve">, που ιδρύθηκε το 2004, σε συνεργασία με το </w:t>
      </w:r>
      <w:r>
        <w:rPr/>
        <w:t>Netwerk</w:t>
      </w:r>
      <w:r>
        <w:rPr>
          <w:lang w:val="el-GR"/>
        </w:rPr>
        <w:t xml:space="preserve"> </w:t>
      </w:r>
      <w:r>
        <w:rPr/>
        <w:t>Solidariteit</w:t>
      </w:r>
      <w:r>
        <w:rPr>
          <w:lang w:val="el-GR"/>
        </w:rPr>
        <w:t>, ενισχύει οικονομικά και κοινωνικο-πολιτιστικά έργα στη Φλάνδρα και τις Βρυξέλλες μέσω δίκαιων επενδύσεων.</w:t>
      </w:r>
    </w:p>
    <w:p>
      <w:pPr>
        <w:pStyle w:val="Textcrowdfundmatch"/>
        <w:spacing w:lineRule="auto" w:line="276" w:before="0" w:after="0"/>
        <w:jc w:val="both"/>
        <w:rPr>
          <w:b/>
          <w:b/>
          <w:bCs/>
          <w:lang w:val="el-GR"/>
        </w:rPr>
      </w:pPr>
      <w:r>
        <w:rPr>
          <w:rFonts w:eastAsia="Aptos"/>
          <w:b/>
          <w:bCs/>
          <w:lang w:val="el-GR"/>
        </w:rPr>
        <w:t>Βασικά σημεία</w:t>
      </w:r>
      <w:r>
        <w:rPr>
          <w:b/>
          <w:bCs/>
          <w:lang w:val="el-GR"/>
        </w:rPr>
        <w:t>:</w:t>
      </w:r>
    </w:p>
    <w:p>
      <w:pPr>
        <w:pStyle w:val="Textcrowdfundmatch"/>
        <w:numPr>
          <w:ilvl w:val="0"/>
          <w:numId w:val="8"/>
        </w:numPr>
        <w:spacing w:before="0" w:after="0"/>
        <w:jc w:val="both"/>
        <w:rPr>
          <w:lang w:val="el-GR"/>
        </w:rPr>
      </w:pPr>
      <w:bookmarkStart w:id="0" w:name="_Hlk167282962"/>
      <w:r>
        <w:rPr>
          <w:rFonts w:eastAsia="Aptos"/>
          <w:b/>
          <w:bCs/>
          <w:lang w:val="el-GR"/>
        </w:rPr>
        <w:t>Σύστημα μοντέλου συνδυασμού κεφαλαίων</w:t>
      </w:r>
      <w:r>
        <w:rPr>
          <w:rFonts w:eastAsia="Aptos"/>
          <w:b/>
          <w:bCs/>
          <w:szCs w:val="22"/>
          <w:lang w:val="el-GR"/>
        </w:rPr>
        <w:t xml:space="preserve">: </w:t>
      </w:r>
      <w:r>
        <w:rPr>
          <w:rFonts w:eastAsia="Aptos"/>
          <w:szCs w:val="22"/>
          <w:lang w:val="el-GR"/>
        </w:rPr>
        <w:t>Επενδυτικό μοντέλο συμμετοχικής χρηματοδότησης.</w:t>
      </w:r>
      <w:bookmarkEnd w:id="0"/>
    </w:p>
    <w:p>
      <w:pPr>
        <w:pStyle w:val="Textcrowdfundmatch"/>
        <w:numPr>
          <w:ilvl w:val="0"/>
          <w:numId w:val="4"/>
        </w:numPr>
        <w:spacing w:before="0" w:after="0"/>
        <w:jc w:val="both"/>
        <w:rPr>
          <w:lang w:val="el-GR"/>
        </w:rPr>
      </w:pPr>
      <w:r>
        <w:rPr>
          <w:rFonts w:eastAsia="Aptos"/>
          <w:b/>
          <w:bCs/>
          <w:lang w:val="el-GR"/>
        </w:rPr>
        <w:t>Μοντέλο χρηματοδότησης</w:t>
      </w:r>
      <w:r>
        <w:rPr>
          <w:b/>
          <w:bCs/>
          <w:lang w:val="el-GR"/>
        </w:rPr>
        <w:t>:</w:t>
      </w:r>
      <w:r>
        <w:rPr>
          <w:lang w:val="el-GR"/>
        </w:rPr>
        <w:t xml:space="preserve"> Παρέχει άτοκα δάνεια έως 200.000 € για 10 χρόνια, υποστηριζόμενα από συμμετοχική χρηματοδότηση, όπου το πλήθος αγοράζει μετοχές της </w:t>
      </w:r>
      <w:r>
        <w:rPr/>
        <w:t>Socrowd</w:t>
      </w:r>
      <w:r>
        <w:rPr>
          <w:lang w:val="el-GR"/>
        </w:rPr>
        <w:t xml:space="preserve">. </w:t>
      </w:r>
    </w:p>
    <w:p>
      <w:pPr>
        <w:pStyle w:val="Textcrowdfundmatch"/>
        <w:numPr>
          <w:ilvl w:val="0"/>
          <w:numId w:val="4"/>
        </w:numPr>
        <w:spacing w:before="0" w:after="0"/>
        <w:jc w:val="both"/>
        <w:rPr>
          <w:lang w:val="el-GR"/>
        </w:rPr>
      </w:pPr>
      <w:r>
        <w:rPr>
          <w:b/>
          <w:bCs/>
          <w:lang w:val="el-GR"/>
        </w:rPr>
        <w:t>Αντίκτυπος:</w:t>
      </w:r>
      <w:r>
        <w:rPr>
          <w:lang w:val="el-GR"/>
        </w:rPr>
        <w:t xml:space="preserve"> Συγκέντρωσε 3,5 εκατ. € σε ίδια κεφάλαια και χορήγησε δάνεια 8,5 εκατ. € σε κοινωνικές επιχειρήσεις από το 2004. </w:t>
      </w:r>
    </w:p>
    <w:p>
      <w:pPr>
        <w:pStyle w:val="Textcrowdfundmatch"/>
        <w:numPr>
          <w:ilvl w:val="0"/>
          <w:numId w:val="4"/>
        </w:numPr>
        <w:spacing w:before="0" w:after="0"/>
        <w:jc w:val="both"/>
        <w:rPr>
          <w:lang w:val="el-GR"/>
        </w:rPr>
      </w:pPr>
      <w:r>
        <w:rPr>
          <w:rFonts w:eastAsia="Aptos"/>
          <w:b/>
          <w:bCs/>
          <w:lang w:val="el-GR"/>
        </w:rPr>
        <w:t>Πόροι</w:t>
      </w:r>
      <w:r>
        <w:rPr>
          <w:b/>
          <w:bCs/>
          <w:lang w:val="el-GR"/>
        </w:rPr>
        <w:t>:</w:t>
      </w:r>
      <w:r>
        <w:rPr>
          <w:lang w:val="el-GR"/>
        </w:rPr>
        <w:t xml:space="preserve"> Χρηματοδοτείται από δημόσιους και ιδιωτικούς μετόχους, συμπεριλαμβανομένων της </w:t>
      </w:r>
      <w:r>
        <w:rPr/>
        <w:t>Fairfin</w:t>
      </w:r>
      <w:r>
        <w:rPr>
          <w:lang w:val="el-GR"/>
        </w:rPr>
        <w:t xml:space="preserve">, περιφερειακών κυβερνήσεων και περίπου 1.000 μεμονωμένων επενδυτών. </w:t>
      </w:r>
    </w:p>
    <w:p>
      <w:pPr>
        <w:pStyle w:val="Textcrowdfundmatch"/>
        <w:spacing w:before="0" w:after="0"/>
        <w:jc w:val="both"/>
        <w:rPr/>
      </w:pPr>
      <w:bookmarkStart w:id="1" w:name="_Hlk167280013"/>
      <w:bookmarkEnd w:id="1"/>
      <w:r>
        <w:rPr>
          <w:b/>
          <w:bCs/>
          <w:lang w:val="el-GR"/>
        </w:rPr>
        <w:t>Πώς λειτουργεί</w:t>
      </w:r>
      <w:r>
        <w:rPr>
          <w:b/>
          <w:bCs/>
        </w:rPr>
        <w:t>:</w:t>
      </w:r>
    </w:p>
    <w:p>
      <w:pPr>
        <w:pStyle w:val="Textcrowdfundmatch"/>
        <w:numPr>
          <w:ilvl w:val="0"/>
          <w:numId w:val="5"/>
        </w:numPr>
        <w:spacing w:before="0" w:after="0"/>
        <w:jc w:val="both"/>
        <w:rPr>
          <w:lang w:val="el-GR"/>
        </w:rPr>
      </w:pPr>
      <w:bookmarkStart w:id="2" w:name="_Hlk167280013"/>
      <w:bookmarkStart w:id="3" w:name="_Hlk167280084"/>
      <w:bookmarkEnd w:id="2"/>
      <w:r>
        <w:rPr>
          <w:b/>
          <w:bCs/>
          <w:lang w:val="el-GR"/>
        </w:rPr>
        <w:t>Εκστρατεία συμμετοχικής χρηματοδότησης:</w:t>
      </w:r>
      <w:r>
        <w:rPr>
          <w:lang w:val="el-GR"/>
        </w:rPr>
        <w:t xml:space="preserve"> </w:t>
      </w:r>
      <w:bookmarkEnd w:id="3"/>
      <w:r>
        <w:rPr>
          <w:lang w:val="el-GR"/>
        </w:rPr>
        <w:t xml:space="preserve">Οι οργανισμοί συγκεντρώνουν μέρος των απαιτούμενων κεφαλαίων από το πλήθος, τα οποία η </w:t>
      </w:r>
      <w:r>
        <w:rPr/>
        <w:t>Socrowd</w:t>
      </w:r>
      <w:r>
        <w:rPr>
          <w:lang w:val="el-GR"/>
        </w:rPr>
        <w:t xml:space="preserve"> τριπλασιάζει μόλις επιτευχθεί το 60% του στόχου.</w:t>
      </w:r>
    </w:p>
    <w:p>
      <w:pPr>
        <w:pStyle w:val="Textcrowdfundmatch"/>
        <w:numPr>
          <w:ilvl w:val="0"/>
          <w:numId w:val="5"/>
        </w:numPr>
        <w:spacing w:before="0" w:after="0"/>
        <w:jc w:val="both"/>
        <w:rPr>
          <w:lang w:val="el-GR"/>
        </w:rPr>
      </w:pPr>
      <w:r>
        <w:rPr>
          <w:b/>
          <w:bCs/>
          <w:lang w:val="el-GR"/>
        </w:rPr>
        <w:t>Παροχή δανείου:</w:t>
      </w:r>
      <w:r>
        <w:rPr>
          <w:lang w:val="el-GR"/>
        </w:rPr>
        <w:t xml:space="preserve"> Η </w:t>
      </w:r>
      <w:r>
        <w:rPr/>
        <w:t>Socrowd</w:t>
      </w:r>
      <w:r>
        <w:rPr>
          <w:lang w:val="el-GR"/>
        </w:rPr>
        <w:t xml:space="preserve"> παρέχει άτοκο δάνειο για το συνολικό ποσό που απαιτείται, το οποίο ο οργανισμός αποπληρώνει σε διάστημα 10 ετών.</w:t>
      </w:r>
    </w:p>
    <w:p>
      <w:pPr>
        <w:pStyle w:val="Textcrowdfundmatch"/>
        <w:numPr>
          <w:ilvl w:val="0"/>
          <w:numId w:val="5"/>
        </w:numPr>
        <w:spacing w:before="0" w:after="0"/>
        <w:jc w:val="both"/>
        <w:rPr>
          <w:lang w:val="el-GR"/>
        </w:rPr>
      </w:pPr>
      <w:r>
        <w:rPr>
          <w:b/>
          <w:bCs/>
          <w:lang w:val="el-GR"/>
        </w:rPr>
        <w:t>Εξασφαλίσεις και εγγυήσεις:</w:t>
      </w:r>
      <w:r>
        <w:rPr>
          <w:lang w:val="el-GR"/>
        </w:rPr>
        <w:t xml:space="preserve"> Τα δάνεια συνοδεύονται από τις απαραίτητες εξασφαλίσεις και δημόσιες εγγυήσεις έως και 75%. </w:t>
      </w:r>
    </w:p>
    <w:p>
      <w:pPr>
        <w:pStyle w:val="Textcrowdfundmatch"/>
        <w:spacing w:before="0" w:after="0"/>
        <w:jc w:val="both"/>
        <w:rPr>
          <w:lang w:val="el-GR"/>
        </w:rPr>
      </w:pPr>
      <w:r>
        <w:rPr>
          <w:b/>
          <w:bCs/>
          <w:lang w:val="el-GR"/>
        </w:rPr>
        <w:t>Επιλεξιμότητα:</w:t>
      </w:r>
      <w:r>
        <w:rPr>
          <w:lang w:val="el-GR"/>
        </w:rPr>
        <w:t xml:space="preserve"> Ανοικτό σε οργανισμούς με θετικό κοινωνικό αντίκτυπο και καλή οικονομική κατάσταση, με έμφαση σε τομείς όπως η κοινωνική οικονομία, ο πολιτισμός, η οικολογία, η πρόνοια, η εκπαίδευση και η διεθνής αλληλεγγύη. </w:t>
      </w:r>
    </w:p>
    <w:p>
      <w:pPr>
        <w:pStyle w:val="Textcrowdfundmatch"/>
        <w:spacing w:before="0" w:after="0"/>
        <w:jc w:val="both"/>
        <w:rPr/>
      </w:pPr>
      <w:bookmarkStart w:id="4" w:name="_Hlk167280279"/>
      <w:r>
        <w:rPr>
          <w:b/>
          <w:bCs/>
        </w:rPr>
        <w:t>Προκλήσεις &amp; Οφέλη:</w:t>
      </w:r>
      <w:bookmarkEnd w:id="4"/>
    </w:p>
    <w:p>
      <w:pPr>
        <w:pStyle w:val="Textcrowdfundmatch"/>
        <w:numPr>
          <w:ilvl w:val="0"/>
          <w:numId w:val="6"/>
        </w:numPr>
        <w:spacing w:before="0" w:after="0"/>
        <w:jc w:val="both"/>
        <w:rPr>
          <w:lang w:val="el-GR"/>
        </w:rPr>
      </w:pPr>
      <w:r>
        <w:rPr>
          <w:b/>
          <w:bCs/>
          <w:lang w:val="el-GR"/>
        </w:rPr>
        <w:t>Προκλήσεις:</w:t>
      </w:r>
      <w:r>
        <w:rPr>
          <w:lang w:val="el-GR"/>
        </w:rPr>
        <w:t xml:space="preserve"> Ανταγωνισμός με τα παραδοσιακά τραπεζικά δάνεια σε περιόδους χαμηλών επιτοκίων - έλλειψη φορολογικών πλεονεκτημάτων για τις δωρεές.</w:t>
      </w:r>
    </w:p>
    <w:p>
      <w:pPr>
        <w:pStyle w:val="Textcrowdfundmatch"/>
        <w:numPr>
          <w:ilvl w:val="0"/>
          <w:numId w:val="6"/>
        </w:numPr>
        <w:spacing w:before="0" w:after="0"/>
        <w:jc w:val="both"/>
        <w:rPr>
          <w:lang w:val="el-GR"/>
        </w:rPr>
      </w:pPr>
      <w:r>
        <w:rPr>
          <w:b/>
          <w:bCs/>
          <w:lang w:val="el-GR"/>
        </w:rPr>
        <w:t>Οφέλη:</w:t>
      </w:r>
      <w:r>
        <w:rPr>
          <w:lang w:val="el-GR"/>
        </w:rPr>
        <w:t xml:space="preserve"> Υψηλά ποσοστά επιτυχίας (98%) για καμπάνιες συμμετοχικής χρηματοδότησης και αποπληρωμές δανείων, εντατικός έλεγχος των έργων και μετριασμός του κινδύνου.</w:t>
      </w:r>
    </w:p>
    <w:p>
      <w:pPr>
        <w:pStyle w:val="Textcrowdfundmatch"/>
        <w:spacing w:before="0" w:after="0"/>
        <w:jc w:val="both"/>
        <w:rPr/>
      </w:pPr>
      <w:r>
        <w:rPr>
          <w:b/>
          <w:bCs/>
          <w:lang w:val="el-GR"/>
        </w:rPr>
        <w:t>Αποτελέσματα</w:t>
      </w:r>
      <w:r>
        <w:rPr>
          <w:b/>
          <w:bCs/>
        </w:rPr>
        <w:t xml:space="preserve"> &amp; </w:t>
      </w:r>
      <w:r>
        <w:rPr>
          <w:b/>
          <w:bCs/>
          <w:lang w:val="el-GR"/>
        </w:rPr>
        <w:t>Συνεχιζόμενος αντίκτυπος</w:t>
      </w:r>
      <w:r>
        <w:rPr>
          <w:b/>
          <w:bCs/>
        </w:rPr>
        <w:t>:</w:t>
      </w:r>
    </w:p>
    <w:p>
      <w:pPr>
        <w:pStyle w:val="Textcrowdfundmatch"/>
        <w:numPr>
          <w:ilvl w:val="0"/>
          <w:numId w:val="7"/>
        </w:numPr>
        <w:spacing w:before="0" w:after="0"/>
        <w:jc w:val="both"/>
        <w:rPr>
          <w:lang w:val="el-GR"/>
        </w:rPr>
      </w:pPr>
      <w:r>
        <w:rPr>
          <w:b/>
          <w:bCs/>
          <w:lang w:val="el-GR"/>
        </w:rPr>
        <w:t>Συνεχής υποστήριξη:</w:t>
      </w:r>
      <w:r>
        <w:rPr>
          <w:lang w:val="el-GR"/>
        </w:rPr>
        <w:t xml:space="preserve"> Συνεχής χρηματοδότηση έργων με αντίκτυπο και κατάρτιση μέσω της Σχολής Επιτυχίας (</w:t>
      </w:r>
      <w:r>
        <w:rPr/>
        <w:t>School</w:t>
      </w:r>
      <w:r>
        <w:rPr>
          <w:lang w:val="el-GR"/>
        </w:rPr>
        <w:t xml:space="preserve"> </w:t>
      </w:r>
      <w:r>
        <w:rPr/>
        <w:t>of</w:t>
      </w:r>
      <w:r>
        <w:rPr>
          <w:lang w:val="el-GR"/>
        </w:rPr>
        <w:t xml:space="preserve"> </w:t>
      </w:r>
      <w:r>
        <w:rPr/>
        <w:t>Success</w:t>
      </w:r>
      <w:r>
        <w:rPr>
          <w:lang w:val="el-GR"/>
        </w:rPr>
        <w:t xml:space="preserve">). </w:t>
      </w:r>
    </w:p>
    <w:p>
      <w:pPr>
        <w:pStyle w:val="Textcrowdfundmatch"/>
        <w:numPr>
          <w:ilvl w:val="0"/>
          <w:numId w:val="7"/>
        </w:numPr>
        <w:spacing w:before="0" w:after="0"/>
        <w:jc w:val="both"/>
        <w:rPr>
          <w:lang w:val="el-GR"/>
        </w:rPr>
      </w:pPr>
      <w:r>
        <w:rPr>
          <w:b/>
          <w:bCs/>
          <w:lang w:val="el-GR"/>
        </w:rPr>
        <w:t>Καινοτόμος Χρηματοδότηση:</w:t>
      </w:r>
      <w:r>
        <w:rPr>
          <w:lang w:val="el-GR"/>
        </w:rPr>
        <w:t xml:space="preserve"> Έμφαση στις δίκαιες επενδύσεις και τη βιώσιμη χρηματοδότηση έργων. </w:t>
      </w:r>
    </w:p>
    <w:p>
      <w:pPr>
        <w:pStyle w:val="Textcrowdfundmatch"/>
        <w:spacing w:before="0" w:after="0"/>
        <w:jc w:val="both"/>
        <w:rPr>
          <w:lang w:val="el-GR"/>
        </w:rPr>
      </w:pPr>
      <w:r>
        <w:rPr>
          <w:rFonts w:cs="Segoe UI Emoji" w:ascii="Segoe UI Emoji" w:hAnsi="Segoe UI Emoji"/>
        </w:rPr>
        <w:t>📈</w:t>
      </w:r>
      <w:r>
        <w:rPr>
          <w:lang w:val="el-GR"/>
        </w:rPr>
        <w:t xml:space="preserve"> </w:t>
      </w:r>
      <w:r>
        <w:rPr>
          <w:b/>
          <w:bCs/>
          <w:lang w:val="el-GR"/>
        </w:rPr>
        <w:t>Ιστορίες επιτυχίας:</w:t>
      </w:r>
      <w:r>
        <w:rPr>
          <w:lang w:val="el-GR"/>
        </w:rPr>
        <w:t xml:space="preserve"> Χρηματοδοτήθηκαν πολυάριθμα έργα που συμβάλλουν στην κοινωνική αλλαγή και στην προώθηση της κοινοτικής ανάπτυξης. </w:t>
      </w:r>
    </w:p>
    <w:p>
      <w:pPr>
        <w:pStyle w:val="Textcrowdfundmatch"/>
        <w:spacing w:before="0" w:after="0"/>
        <w:jc w:val="both"/>
        <w:rPr>
          <w:lang w:val="el-GR"/>
        </w:rPr>
      </w:pPr>
      <w:r>
        <w:rPr>
          <w:rFonts w:cs="Segoe UI Emoji" w:ascii="Segoe UI Emoji" w:hAnsi="Segoe UI Emoji"/>
        </w:rPr>
        <w:t>🔗</w:t>
      </w:r>
      <w:r>
        <w:rPr>
          <w:lang w:val="el-GR"/>
        </w:rPr>
        <w:t xml:space="preserve"> </w:t>
      </w:r>
      <w:r>
        <w:rPr>
          <w:rFonts w:eastAsia="Aptos"/>
          <w:b/>
          <w:bCs/>
          <w:lang w:val="el-GR"/>
        </w:rPr>
        <w:t>Μάθετε περισσότερα</w:t>
      </w:r>
      <w:r>
        <w:rPr>
          <w:b/>
          <w:bCs/>
          <w:lang w:val="el-GR"/>
        </w:rPr>
        <w:t>:</w:t>
      </w:r>
      <w:r>
        <w:rPr>
          <w:lang w:val="el-GR"/>
        </w:rPr>
        <w:t xml:space="preserve"> </w:t>
      </w:r>
      <w:hyperlink r:id="rId6" w:tgtFrame="_new">
        <w:r>
          <w:rPr/>
          <w:t>Socrowd</w:t>
        </w:r>
      </w:hyperlink>
    </w:p>
    <w:p>
      <w:pPr>
        <w:pStyle w:val="Normal"/>
        <w:rPr>
          <w:lang w:val="el-GR"/>
        </w:rPr>
      </w:pPr>
      <w:r>
        <w:rPr>
          <w:lang w:val="el-GR"/>
        </w:rPr>
      </w:r>
    </w:p>
    <w:p>
      <w:pPr>
        <w:pStyle w:val="Normal"/>
        <w:rPr>
          <w:rFonts w:ascii="Open Sans" w:hAnsi="Open Sans" w:eastAsia="Aptos" w:cs="Open Sans"/>
          <w:b/>
          <w:b/>
          <w:bCs/>
          <w:color w:val="00A984"/>
          <w:sz w:val="24"/>
          <w:szCs w:val="24"/>
          <w:lang w:val="el-GR"/>
        </w:rPr>
      </w:pPr>
      <w:r>
        <w:rPr>
          <w:rFonts w:eastAsia="Aptos" w:cs="Open Sans" w:ascii="Open Sans" w:hAnsi="Open Sans"/>
          <w:b/>
          <w:bCs/>
          <w:color w:val="00A984"/>
          <w:sz w:val="24"/>
          <w:szCs w:val="24"/>
          <w:lang w:val="el-GR"/>
        </w:rPr>
      </w:r>
      <w:r>
        <w:br w:type="page"/>
      </w:r>
    </w:p>
    <w:p>
      <w:pPr>
        <w:pStyle w:val="Normal"/>
        <w:spacing w:lineRule="auto" w:line="276"/>
        <w:jc w:val="both"/>
        <w:rPr>
          <w:rFonts w:ascii="Open Sans" w:hAnsi="Open Sans" w:eastAsia="Aptos" w:cs="Open Sans"/>
          <w:b/>
          <w:b/>
          <w:bCs/>
          <w:color w:val="00A984"/>
          <w:sz w:val="24"/>
          <w:szCs w:val="24"/>
          <w:lang w:val="el-GR"/>
        </w:rPr>
      </w:pPr>
      <w:r>
        <w:rPr>
          <w:rFonts w:eastAsia="Aptos" w:cs="Open Sans" w:ascii="Open Sans" w:hAnsi="Open Sans"/>
          <w:b/>
          <w:bCs/>
          <w:color w:val="00A984"/>
          <w:sz w:val="24"/>
          <w:szCs w:val="24"/>
          <w:lang w:val="el-GR"/>
        </w:rPr>
        <w:t xml:space="preserve">Investment Funds Andalusia (Επενδυτικά Ταμεία Ανδαλουσίας): Ενίσχυση των καινοτόμων ΜΜΕ στην Ισπανία </w:t>
      </w:r>
    </w:p>
    <w:p>
      <w:pPr>
        <w:pStyle w:val="Normal"/>
        <w:spacing w:lineRule="auto" w:line="276" w:before="0" w:after="0"/>
        <w:jc w:val="both"/>
        <w:rPr>
          <w:rFonts w:ascii="Open Sans" w:hAnsi="Open Sans" w:cs="Open Sans"/>
          <w:lang w:val="el-GR"/>
        </w:rPr>
      </w:pPr>
      <w:r>
        <w:rPr>
          <w:rFonts w:cs="Open Sans" w:ascii="Open Sans" w:hAnsi="Open Sans"/>
          <w:lang w:val="el-GR"/>
        </w:rPr>
        <w:t xml:space="preserve">Από το 2020 έως το 2029, η </w:t>
      </w:r>
      <w:r>
        <w:rPr>
          <w:rFonts w:cs="Open Sans" w:ascii="Open Sans" w:hAnsi="Open Sans"/>
          <w:lang w:val="en-GB"/>
        </w:rPr>
        <w:t>Junta</w:t>
      </w:r>
      <w:r>
        <w:rPr>
          <w:rFonts w:cs="Open Sans" w:ascii="Open Sans" w:hAnsi="Open Sans"/>
          <w:lang w:val="el-GR"/>
        </w:rPr>
        <w:t xml:space="preserve"> </w:t>
      </w:r>
      <w:r>
        <w:rPr>
          <w:rFonts w:cs="Open Sans" w:ascii="Open Sans" w:hAnsi="Open Sans"/>
          <w:lang w:val="en-GB"/>
        </w:rPr>
        <w:t>de</w:t>
      </w:r>
      <w:r>
        <w:rPr>
          <w:rFonts w:cs="Open Sans" w:ascii="Open Sans" w:hAnsi="Open Sans"/>
          <w:lang w:val="el-GR"/>
        </w:rPr>
        <w:t xml:space="preserve"> </w:t>
      </w:r>
      <w:r>
        <w:rPr>
          <w:rFonts w:cs="Open Sans" w:ascii="Open Sans" w:hAnsi="Open Sans"/>
          <w:lang w:val="en-GB"/>
        </w:rPr>
        <w:t>Andaluc</w:t>
      </w:r>
      <w:r>
        <w:rPr>
          <w:rFonts w:cs="Open Sans" w:ascii="Open Sans" w:hAnsi="Open Sans"/>
          <w:lang w:val="el-GR"/>
        </w:rPr>
        <w:t>í</w:t>
      </w:r>
      <w:r>
        <w:rPr>
          <w:rFonts w:cs="Open Sans" w:ascii="Open Sans" w:hAnsi="Open Sans"/>
          <w:lang w:val="en-GB"/>
        </w:rPr>
        <w:t>a</w:t>
      </w:r>
      <w:r>
        <w:rPr>
          <w:rFonts w:cs="Open Sans" w:ascii="Open Sans" w:hAnsi="Open Sans"/>
          <w:lang w:val="el-GR"/>
        </w:rPr>
        <w:t xml:space="preserve">, μέσω του οργανισμού της </w:t>
      </w:r>
      <w:r>
        <w:rPr>
          <w:rFonts w:cs="Open Sans" w:ascii="Open Sans" w:hAnsi="Open Sans"/>
          <w:lang w:val="en-GB"/>
        </w:rPr>
        <w:t>IDEA</w:t>
      </w:r>
      <w:r>
        <w:rPr>
          <w:rFonts w:cs="Open Sans" w:ascii="Open Sans" w:hAnsi="Open Sans"/>
          <w:lang w:val="el-GR"/>
        </w:rPr>
        <w:t xml:space="preserve">, προωθεί τρία κεφάλαια επιχειρηματικού κεφαλαίου για την υποστήριξη καινοτόμων ΜΜΕ στην Ανδαλουσία. </w:t>
      </w:r>
    </w:p>
    <w:p>
      <w:pPr>
        <w:pStyle w:val="Normal"/>
        <w:spacing w:lineRule="auto" w:line="276" w:before="0" w:after="0"/>
        <w:jc w:val="both"/>
        <w:rPr>
          <w:rFonts w:ascii="Open Sans" w:hAnsi="Open Sans" w:cs="Open Sans"/>
          <w:lang w:val="el-GR"/>
        </w:rPr>
      </w:pPr>
      <w:r>
        <w:rPr>
          <w:rFonts w:eastAsia="Aptos" w:cs="Open Sans" w:ascii="Open Sans" w:hAnsi="Open Sans"/>
          <w:b/>
          <w:bCs/>
          <w:lang w:val="el-GR"/>
        </w:rPr>
        <w:t>Βασικά σημεία</w:t>
      </w:r>
      <w:r>
        <w:rPr>
          <w:rFonts w:cs="Open Sans" w:ascii="Open Sans" w:hAnsi="Open Sans"/>
          <w:b/>
          <w:bCs/>
          <w:lang w:val="el-GR"/>
        </w:rPr>
        <w:t>:</w:t>
      </w:r>
    </w:p>
    <w:p>
      <w:pPr>
        <w:pStyle w:val="Textcrowdfundmatch"/>
        <w:numPr>
          <w:ilvl w:val="0"/>
          <w:numId w:val="10"/>
        </w:numPr>
        <w:spacing w:lineRule="auto" w:line="240" w:before="0" w:after="0"/>
        <w:jc w:val="both"/>
        <w:rPr>
          <w:lang w:val="el-GR"/>
        </w:rPr>
      </w:pPr>
      <w:r>
        <w:rPr>
          <w:rFonts w:eastAsia="Aptos"/>
          <w:b/>
          <w:bCs/>
          <w:lang w:val="el-GR"/>
        </w:rPr>
        <w:t>Σύστημα μοντέλου συνδυασμού κεφαλαίων</w:t>
      </w:r>
      <w:r>
        <w:rPr>
          <w:rFonts w:eastAsia="Aptos"/>
          <w:b/>
          <w:bCs/>
          <w:szCs w:val="22"/>
          <w:lang w:val="el-GR"/>
        </w:rPr>
        <w:t xml:space="preserve">: </w:t>
      </w:r>
      <w:r>
        <w:rPr>
          <w:rFonts w:eastAsia="Aptos"/>
          <w:szCs w:val="22"/>
          <w:lang w:val="el-GR"/>
        </w:rPr>
        <w:t xml:space="preserve">Άλλα εναλλακτικά χρηματοοικονομικά εργαλεία. </w:t>
      </w:r>
    </w:p>
    <w:p>
      <w:pPr>
        <w:pStyle w:val="Textcrowdfundmatch"/>
        <w:numPr>
          <w:ilvl w:val="0"/>
          <w:numId w:val="10"/>
        </w:numPr>
        <w:spacing w:lineRule="auto" w:line="240" w:before="0" w:after="0"/>
        <w:jc w:val="both"/>
        <w:rPr>
          <w:lang w:val="el-GR"/>
        </w:rPr>
      </w:pPr>
      <w:r>
        <w:rPr>
          <w:rFonts w:eastAsia="Aptos"/>
          <w:b/>
          <w:bCs/>
          <w:lang w:val="el-GR"/>
        </w:rPr>
        <w:t>Μοντέλο χρηματοδότησης</w:t>
      </w:r>
      <w:r>
        <w:rPr>
          <w:b/>
          <w:bCs/>
          <w:lang w:val="el-GR"/>
        </w:rPr>
        <w:t>:</w:t>
      </w:r>
      <w:r>
        <w:rPr>
          <w:lang w:val="el-GR"/>
        </w:rPr>
        <w:t xml:space="preserve"> Τρία ταμεία που συγχρηματοδοτούνται από το Ευρωπαϊκό Ταμείο Περιφερειακής Ανάπτυξης (ΕΤΠΑ) και διαχειρίζονται ιδιωτικές εταιρείες: </w:t>
      </w:r>
    </w:p>
    <w:p>
      <w:pPr>
        <w:pStyle w:val="Normal"/>
        <w:numPr>
          <w:ilvl w:val="1"/>
          <w:numId w:val="10"/>
        </w:numPr>
        <w:spacing w:lineRule="auto" w:line="240" w:before="0" w:after="0"/>
        <w:jc w:val="both"/>
        <w:rPr>
          <w:rFonts w:ascii="Open Sans" w:hAnsi="Open Sans" w:cs="Open Sans"/>
          <w:lang w:val="el-GR"/>
        </w:rPr>
      </w:pPr>
      <w:r>
        <w:rPr>
          <w:rFonts w:cs="Open Sans" w:ascii="Open Sans" w:hAnsi="Open Sans"/>
          <w:b/>
          <w:bCs/>
          <w:lang w:val="en-GB"/>
        </w:rPr>
        <w:t>Sherry</w:t>
      </w:r>
      <w:r>
        <w:rPr>
          <w:rFonts w:cs="Open Sans" w:ascii="Open Sans" w:hAnsi="Open Sans"/>
          <w:b/>
          <w:bCs/>
          <w:lang w:val="el-GR"/>
        </w:rPr>
        <w:t xml:space="preserve"> </w:t>
      </w:r>
      <w:r>
        <w:rPr>
          <w:rFonts w:cs="Open Sans" w:ascii="Open Sans" w:hAnsi="Open Sans"/>
          <w:b/>
          <w:bCs/>
          <w:lang w:val="en-GB"/>
        </w:rPr>
        <w:t>Ventures</w:t>
      </w:r>
      <w:r>
        <w:rPr>
          <w:rFonts w:cs="Open Sans" w:ascii="Open Sans" w:hAnsi="Open Sans"/>
          <w:b/>
          <w:bCs/>
          <w:lang w:val="el-GR"/>
        </w:rPr>
        <w:t xml:space="preserve"> </w:t>
      </w:r>
      <w:r>
        <w:rPr>
          <w:rFonts w:cs="Open Sans" w:ascii="Open Sans" w:hAnsi="Open Sans"/>
          <w:b/>
          <w:bCs/>
          <w:lang w:val="en-GB"/>
        </w:rPr>
        <w:t>Innovation</w:t>
      </w:r>
      <w:r>
        <w:rPr>
          <w:rFonts w:cs="Open Sans" w:ascii="Open Sans" w:hAnsi="Open Sans"/>
          <w:b/>
          <w:bCs/>
          <w:lang w:val="el-GR"/>
        </w:rPr>
        <w:t xml:space="preserve"> </w:t>
      </w:r>
      <w:r>
        <w:rPr>
          <w:rFonts w:cs="Open Sans" w:ascii="Open Sans" w:hAnsi="Open Sans"/>
          <w:b/>
          <w:bCs/>
          <w:lang w:val="en-GB"/>
        </w:rPr>
        <w:t>FCR</w:t>
      </w:r>
      <w:r>
        <w:rPr>
          <w:rFonts w:cs="Open Sans" w:ascii="Open Sans" w:hAnsi="Open Sans"/>
          <w:b/>
          <w:bCs/>
          <w:lang w:val="el-GR"/>
        </w:rPr>
        <w:t>:</w:t>
      </w:r>
      <w:r>
        <w:rPr>
          <w:rFonts w:cs="Open Sans" w:ascii="Open Sans" w:hAnsi="Open Sans"/>
          <w:lang w:val="el-GR"/>
        </w:rPr>
        <w:t xml:space="preserve"> Ταμείο πρώιμου σταδίου υπό τη διαχείριση της </w:t>
      </w:r>
      <w:r>
        <w:rPr>
          <w:rFonts w:cs="Open Sans" w:ascii="Open Sans" w:hAnsi="Open Sans"/>
          <w:lang w:val="en-GB"/>
        </w:rPr>
        <w:t>QUADRIGA</w:t>
      </w:r>
      <w:r>
        <w:rPr>
          <w:rFonts w:cs="Open Sans" w:ascii="Open Sans" w:hAnsi="Open Sans"/>
          <w:lang w:val="el-GR"/>
        </w:rPr>
        <w:t>.</w:t>
      </w:r>
    </w:p>
    <w:p>
      <w:pPr>
        <w:pStyle w:val="Normal"/>
        <w:numPr>
          <w:ilvl w:val="1"/>
          <w:numId w:val="10"/>
        </w:numPr>
        <w:spacing w:lineRule="auto" w:line="240" w:before="0" w:after="0"/>
        <w:jc w:val="both"/>
        <w:rPr>
          <w:rFonts w:ascii="Open Sans" w:hAnsi="Open Sans" w:cs="Open Sans"/>
          <w:lang w:val="el-GR"/>
        </w:rPr>
      </w:pPr>
      <w:r>
        <w:rPr>
          <w:rFonts w:cs="Open Sans" w:ascii="Open Sans" w:hAnsi="Open Sans"/>
          <w:b/>
          <w:bCs/>
          <w:lang w:val="en-GB"/>
        </w:rPr>
        <w:t>Alter</w:t>
      </w:r>
      <w:r>
        <w:rPr>
          <w:rFonts w:cs="Open Sans" w:ascii="Open Sans" w:hAnsi="Open Sans"/>
          <w:b/>
          <w:bCs/>
          <w:lang w:val="el-GR"/>
        </w:rPr>
        <w:t xml:space="preserve"> </w:t>
      </w:r>
      <w:r>
        <w:rPr>
          <w:rFonts w:cs="Open Sans" w:ascii="Open Sans" w:hAnsi="Open Sans"/>
          <w:b/>
          <w:bCs/>
          <w:lang w:val="en-GB"/>
        </w:rPr>
        <w:t>Cap</w:t>
      </w:r>
      <w:r>
        <w:rPr>
          <w:rFonts w:cs="Open Sans" w:ascii="Open Sans" w:hAnsi="Open Sans"/>
          <w:b/>
          <w:bCs/>
          <w:lang w:val="el-GR"/>
        </w:rPr>
        <w:t xml:space="preserve"> </w:t>
      </w:r>
      <w:r>
        <w:rPr>
          <w:rFonts w:cs="Open Sans" w:ascii="Open Sans" w:hAnsi="Open Sans"/>
          <w:b/>
          <w:bCs/>
          <w:lang w:val="en-GB"/>
        </w:rPr>
        <w:t>Andaluc</w:t>
      </w:r>
      <w:r>
        <w:rPr>
          <w:rFonts w:cs="Open Sans" w:ascii="Open Sans" w:hAnsi="Open Sans"/>
          <w:b/>
          <w:bCs/>
          <w:lang w:val="el-GR"/>
        </w:rPr>
        <w:t>í</w:t>
      </w:r>
      <w:r>
        <w:rPr>
          <w:rFonts w:cs="Open Sans" w:ascii="Open Sans" w:hAnsi="Open Sans"/>
          <w:b/>
          <w:bCs/>
          <w:lang w:val="en-GB"/>
        </w:rPr>
        <w:t>a</w:t>
      </w:r>
      <w:r>
        <w:rPr>
          <w:rFonts w:cs="Open Sans" w:ascii="Open Sans" w:hAnsi="Open Sans"/>
          <w:b/>
          <w:bCs/>
          <w:lang w:val="el-GR"/>
        </w:rPr>
        <w:t xml:space="preserve"> </w:t>
      </w:r>
      <w:r>
        <w:rPr>
          <w:rFonts w:cs="Open Sans" w:ascii="Open Sans" w:hAnsi="Open Sans"/>
          <w:b/>
          <w:bCs/>
          <w:lang w:val="en-GB"/>
        </w:rPr>
        <w:t>FCR</w:t>
      </w:r>
      <w:r>
        <w:rPr>
          <w:rFonts w:cs="Open Sans" w:ascii="Open Sans" w:hAnsi="Open Sans"/>
          <w:b/>
          <w:bCs/>
          <w:lang w:val="el-GR"/>
        </w:rPr>
        <w:t>:</w:t>
      </w:r>
      <w:r>
        <w:rPr>
          <w:rFonts w:cs="Open Sans" w:ascii="Open Sans" w:hAnsi="Open Sans"/>
          <w:lang w:val="el-GR"/>
        </w:rPr>
        <w:t xml:space="preserve"> Ταμείο φάσης επέκτασης που διαχειρίζεται το </w:t>
      </w:r>
      <w:r>
        <w:rPr>
          <w:rFonts w:cs="Open Sans" w:ascii="Open Sans" w:hAnsi="Open Sans"/>
          <w:lang w:val="en-GB"/>
        </w:rPr>
        <w:t>ALTER</w:t>
      </w:r>
      <w:r>
        <w:rPr>
          <w:rFonts w:cs="Open Sans" w:ascii="Open Sans" w:hAnsi="Open Sans"/>
          <w:lang w:val="el-GR"/>
        </w:rPr>
        <w:t xml:space="preserve">. </w:t>
      </w:r>
    </w:p>
    <w:p>
      <w:pPr>
        <w:pStyle w:val="Normal"/>
        <w:numPr>
          <w:ilvl w:val="1"/>
          <w:numId w:val="10"/>
        </w:numPr>
        <w:spacing w:lineRule="auto" w:line="240" w:before="0" w:after="0"/>
        <w:jc w:val="both"/>
        <w:rPr>
          <w:rFonts w:ascii="Open Sans" w:hAnsi="Open Sans" w:cs="Open Sans"/>
          <w:lang w:val="el-GR"/>
        </w:rPr>
      </w:pPr>
      <w:r>
        <w:rPr>
          <w:rFonts w:cs="Open Sans" w:ascii="Open Sans" w:hAnsi="Open Sans"/>
          <w:b/>
          <w:bCs/>
          <w:lang w:val="en-GB"/>
        </w:rPr>
        <w:t>Corporaci</w:t>
      </w:r>
      <w:r>
        <w:rPr>
          <w:rFonts w:cs="Open Sans" w:ascii="Open Sans" w:hAnsi="Open Sans"/>
          <w:b/>
          <w:bCs/>
          <w:lang w:val="el-GR"/>
        </w:rPr>
        <w:t>ó</w:t>
      </w:r>
      <w:r>
        <w:rPr>
          <w:rFonts w:cs="Open Sans" w:ascii="Open Sans" w:hAnsi="Open Sans"/>
          <w:b/>
          <w:bCs/>
          <w:lang w:val="en-GB"/>
        </w:rPr>
        <w:t>n</w:t>
      </w:r>
      <w:r>
        <w:rPr>
          <w:rFonts w:cs="Open Sans" w:ascii="Open Sans" w:hAnsi="Open Sans"/>
          <w:b/>
          <w:bCs/>
          <w:lang w:val="el-GR"/>
        </w:rPr>
        <w:t xml:space="preserve"> </w:t>
      </w:r>
      <w:r>
        <w:rPr>
          <w:rFonts w:cs="Open Sans" w:ascii="Open Sans" w:hAnsi="Open Sans"/>
          <w:b/>
          <w:bCs/>
          <w:lang w:val="en-GB"/>
        </w:rPr>
        <w:t>B</w:t>
      </w:r>
      <w:r>
        <w:rPr>
          <w:rFonts w:cs="Open Sans" w:ascii="Open Sans" w:hAnsi="Open Sans"/>
          <w:b/>
          <w:bCs/>
          <w:lang w:val="el-GR"/>
        </w:rPr>
        <w:t>é</w:t>
      </w:r>
      <w:r>
        <w:rPr>
          <w:rFonts w:cs="Open Sans" w:ascii="Open Sans" w:hAnsi="Open Sans"/>
          <w:b/>
          <w:bCs/>
          <w:lang w:val="en-GB"/>
        </w:rPr>
        <w:t>tica</w:t>
      </w:r>
      <w:r>
        <w:rPr>
          <w:rFonts w:cs="Open Sans" w:ascii="Open Sans" w:hAnsi="Open Sans"/>
          <w:b/>
          <w:bCs/>
          <w:lang w:val="el-GR"/>
        </w:rPr>
        <w:t xml:space="preserve"> </w:t>
      </w:r>
      <w:r>
        <w:rPr>
          <w:rFonts w:cs="Open Sans" w:ascii="Open Sans" w:hAnsi="Open Sans"/>
          <w:b/>
          <w:bCs/>
          <w:lang w:val="en-GB"/>
        </w:rPr>
        <w:t>de</w:t>
      </w:r>
      <w:r>
        <w:rPr>
          <w:rFonts w:cs="Open Sans" w:ascii="Open Sans" w:hAnsi="Open Sans"/>
          <w:b/>
          <w:bCs/>
          <w:lang w:val="el-GR"/>
        </w:rPr>
        <w:t xml:space="preserve"> </w:t>
      </w:r>
      <w:r>
        <w:rPr>
          <w:rFonts w:cs="Open Sans" w:ascii="Open Sans" w:hAnsi="Open Sans"/>
          <w:b/>
          <w:bCs/>
          <w:lang w:val="en-GB"/>
        </w:rPr>
        <w:t>Expansi</w:t>
      </w:r>
      <w:r>
        <w:rPr>
          <w:rFonts w:cs="Open Sans" w:ascii="Open Sans" w:hAnsi="Open Sans"/>
          <w:b/>
          <w:bCs/>
          <w:lang w:val="el-GR"/>
        </w:rPr>
        <w:t>ó</w:t>
      </w:r>
      <w:r>
        <w:rPr>
          <w:rFonts w:cs="Open Sans" w:ascii="Open Sans" w:hAnsi="Open Sans"/>
          <w:b/>
          <w:bCs/>
          <w:lang w:val="en-GB"/>
        </w:rPr>
        <w:t>n</w:t>
      </w:r>
      <w:r>
        <w:rPr>
          <w:rFonts w:cs="Open Sans" w:ascii="Open Sans" w:hAnsi="Open Sans"/>
          <w:b/>
          <w:bCs/>
          <w:lang w:val="el-GR"/>
        </w:rPr>
        <w:t xml:space="preserve"> </w:t>
      </w:r>
      <w:r>
        <w:rPr>
          <w:rFonts w:cs="Open Sans" w:ascii="Open Sans" w:hAnsi="Open Sans"/>
          <w:b/>
          <w:bCs/>
          <w:lang w:val="en-GB"/>
        </w:rPr>
        <w:t>Empresarial</w:t>
      </w:r>
      <w:r>
        <w:rPr>
          <w:rFonts w:cs="Open Sans" w:ascii="Open Sans" w:hAnsi="Open Sans"/>
          <w:b/>
          <w:bCs/>
          <w:lang w:val="el-GR"/>
        </w:rPr>
        <w:t xml:space="preserve"> </w:t>
      </w:r>
      <w:r>
        <w:rPr>
          <w:rFonts w:cs="Open Sans" w:ascii="Open Sans" w:hAnsi="Open Sans"/>
          <w:b/>
          <w:bCs/>
          <w:lang w:val="en-GB"/>
        </w:rPr>
        <w:t>FCR</w:t>
      </w:r>
      <w:r>
        <w:rPr>
          <w:rFonts w:cs="Open Sans" w:ascii="Open Sans" w:hAnsi="Open Sans"/>
          <w:b/>
          <w:bCs/>
          <w:lang w:val="el-GR"/>
        </w:rPr>
        <w:t>:</w:t>
      </w:r>
      <w:r>
        <w:rPr>
          <w:rFonts w:cs="Open Sans" w:ascii="Open Sans" w:hAnsi="Open Sans"/>
          <w:lang w:val="el-GR"/>
        </w:rPr>
        <w:t xml:space="preserve"> Ταμείο σταδίου επέκτασης που διαχειρίζεται η </w:t>
      </w:r>
      <w:r>
        <w:rPr>
          <w:rFonts w:cs="Open Sans" w:ascii="Open Sans" w:hAnsi="Open Sans"/>
          <w:lang w:val="en-GB"/>
        </w:rPr>
        <w:t>AXON</w:t>
      </w:r>
      <w:r>
        <w:rPr>
          <w:rFonts w:cs="Open Sans" w:ascii="Open Sans" w:hAnsi="Open Sans"/>
          <w:lang w:val="el-GR"/>
        </w:rPr>
        <w:t xml:space="preserve">. </w:t>
      </w:r>
    </w:p>
    <w:p>
      <w:pPr>
        <w:pStyle w:val="Normal"/>
        <w:numPr>
          <w:ilvl w:val="0"/>
          <w:numId w:val="10"/>
        </w:numPr>
        <w:spacing w:lineRule="auto" w:line="240" w:before="0" w:after="0"/>
        <w:jc w:val="both"/>
        <w:rPr>
          <w:rFonts w:ascii="Open Sans" w:hAnsi="Open Sans" w:cs="Open Sans"/>
          <w:lang w:val="el-GR"/>
        </w:rPr>
      </w:pPr>
      <w:r>
        <w:rPr>
          <w:rFonts w:cs="Open Sans" w:ascii="Open Sans" w:hAnsi="Open Sans"/>
          <w:b/>
          <w:bCs/>
          <w:lang w:val="el-GR"/>
        </w:rPr>
        <w:t>Αντίκτυπος:</w:t>
      </w:r>
      <w:r>
        <w:rPr>
          <w:rFonts w:cs="Open Sans" w:ascii="Open Sans" w:hAnsi="Open Sans"/>
          <w:lang w:val="el-GR"/>
        </w:rPr>
        <w:t xml:space="preserve"> Στόχος να αντιμετωπιστούν οι αποτυχίες της αγοράς για τις ΜΜΕ σε πρώιμα στάδια και στα στάδια επέκτασης, εστιάζοντας σε εταιρείες με δυνατότητα υψηλής ανάπτυξης στην Ανδαλουσία.</w:t>
      </w:r>
    </w:p>
    <w:p>
      <w:pPr>
        <w:pStyle w:val="Normal"/>
        <w:spacing w:lineRule="auto" w:line="240" w:before="0" w:after="0"/>
        <w:jc w:val="both"/>
        <w:rPr>
          <w:rFonts w:ascii="Open Sans" w:hAnsi="Open Sans" w:eastAsia="Aptos" w:cs="Open Sans"/>
          <w:b/>
          <w:b/>
          <w:bCs/>
          <w:lang w:val="el-GR"/>
        </w:rPr>
      </w:pPr>
      <w:r>
        <w:rPr>
          <w:rFonts w:eastAsia="Aptos" w:cs="Open Sans" w:ascii="Open Sans" w:hAnsi="Open Sans"/>
          <w:b/>
          <w:bCs/>
          <w:lang w:val="el-GR"/>
        </w:rPr>
        <w:t>Πώς λειτουργεί:</w:t>
      </w:r>
    </w:p>
    <w:p>
      <w:pPr>
        <w:pStyle w:val="Normal"/>
        <w:numPr>
          <w:ilvl w:val="0"/>
          <w:numId w:val="11"/>
        </w:numPr>
        <w:spacing w:lineRule="auto" w:line="240" w:before="0" w:after="0"/>
        <w:jc w:val="both"/>
        <w:rPr>
          <w:rFonts w:ascii="Open Sans" w:hAnsi="Open Sans" w:cs="Open Sans"/>
          <w:lang w:val="el-GR"/>
        </w:rPr>
      </w:pPr>
      <w:r>
        <w:rPr>
          <w:rFonts w:cs="Open Sans" w:ascii="Open Sans" w:hAnsi="Open Sans"/>
          <w:b/>
          <w:bCs/>
          <w:lang w:val="el-GR"/>
        </w:rPr>
        <w:t>Επενδυτική Διαδικασία:</w:t>
      </w:r>
      <w:r>
        <w:rPr>
          <w:rFonts w:cs="Open Sans" w:ascii="Open Sans" w:hAnsi="Open Sans"/>
          <w:lang w:val="el-GR"/>
        </w:rPr>
        <w:t xml:space="preserve"> Προσέλκυση επενδυτών, δημιουργία χρηματοοικονομικών μέσων, ανάλυση ευκαιριών και διασφάλιση αποτελεσματικού εσωτερικού ελέγχου.</w:t>
      </w:r>
    </w:p>
    <w:p>
      <w:pPr>
        <w:pStyle w:val="Normal"/>
        <w:numPr>
          <w:ilvl w:val="0"/>
          <w:numId w:val="11"/>
        </w:numPr>
        <w:spacing w:lineRule="auto" w:line="240" w:before="0" w:after="0"/>
        <w:jc w:val="both"/>
        <w:rPr>
          <w:rFonts w:ascii="Open Sans" w:hAnsi="Open Sans" w:cs="Open Sans"/>
          <w:lang w:val="en-GB"/>
        </w:rPr>
      </w:pPr>
      <w:r>
        <w:rPr>
          <w:rFonts w:cs="Open Sans" w:ascii="Open Sans" w:hAnsi="Open Sans"/>
          <w:b/>
          <w:bCs/>
          <w:lang w:val="el-GR"/>
        </w:rPr>
        <w:t>Φάσεις</w:t>
      </w:r>
      <w:r>
        <w:rPr>
          <w:rFonts w:cs="Open Sans" w:ascii="Open Sans" w:hAnsi="Open Sans"/>
          <w:b/>
          <w:bCs/>
          <w:lang w:val="en-GB"/>
        </w:rPr>
        <w:t>:</w:t>
      </w:r>
    </w:p>
    <w:p>
      <w:pPr>
        <w:pStyle w:val="Normal"/>
        <w:numPr>
          <w:ilvl w:val="1"/>
          <w:numId w:val="11"/>
        </w:numPr>
        <w:spacing w:lineRule="auto" w:line="240" w:before="0" w:after="0"/>
        <w:jc w:val="both"/>
        <w:rPr>
          <w:rFonts w:ascii="Open Sans" w:hAnsi="Open Sans" w:cs="Open Sans"/>
          <w:lang w:val="en-GB"/>
        </w:rPr>
      </w:pPr>
      <w:r>
        <w:rPr>
          <w:rFonts w:cs="Open Sans" w:ascii="Open Sans" w:hAnsi="Open Sans"/>
          <w:lang w:val="el-GR"/>
        </w:rPr>
        <w:t>Σύσταση</w:t>
      </w:r>
      <w:r>
        <w:rPr>
          <w:rFonts w:cs="Open Sans" w:ascii="Open Sans" w:hAnsi="Open Sans"/>
          <w:lang w:val="en-GB"/>
        </w:rPr>
        <w:t xml:space="preserve"> (9 </w:t>
      </w:r>
      <w:r>
        <w:rPr>
          <w:rFonts w:cs="Open Sans" w:ascii="Open Sans" w:hAnsi="Open Sans"/>
          <w:lang w:val="el-GR"/>
        </w:rPr>
        <w:t>μήνες</w:t>
      </w:r>
      <w:r>
        <w:rPr>
          <w:rFonts w:cs="Open Sans" w:ascii="Open Sans" w:hAnsi="Open Sans"/>
          <w:lang w:val="en-GB"/>
        </w:rPr>
        <w:t>)</w:t>
      </w:r>
    </w:p>
    <w:p>
      <w:pPr>
        <w:pStyle w:val="Normal"/>
        <w:numPr>
          <w:ilvl w:val="1"/>
          <w:numId w:val="11"/>
        </w:numPr>
        <w:spacing w:lineRule="auto" w:line="240" w:before="0" w:after="0"/>
        <w:jc w:val="both"/>
        <w:rPr>
          <w:rFonts w:ascii="Open Sans" w:hAnsi="Open Sans" w:cs="Open Sans"/>
          <w:lang w:val="en-GB"/>
        </w:rPr>
      </w:pPr>
      <w:r>
        <w:rPr>
          <w:rFonts w:cs="Open Sans" w:ascii="Open Sans" w:hAnsi="Open Sans"/>
          <w:lang w:val="el-GR"/>
        </w:rPr>
        <w:t>Επένδυση</w:t>
      </w:r>
      <w:r>
        <w:rPr>
          <w:rFonts w:cs="Open Sans" w:ascii="Open Sans" w:hAnsi="Open Sans"/>
          <w:lang w:val="en-GB"/>
        </w:rPr>
        <w:t xml:space="preserve"> (</w:t>
      </w:r>
      <w:r>
        <w:rPr>
          <w:rFonts w:cs="Open Sans" w:ascii="Open Sans" w:hAnsi="Open Sans"/>
          <w:lang w:val="el-GR"/>
        </w:rPr>
        <w:t>έως</w:t>
      </w:r>
      <w:r>
        <w:rPr>
          <w:rFonts w:cs="Open Sans" w:ascii="Open Sans" w:hAnsi="Open Sans"/>
          <w:lang w:val="en-GB"/>
        </w:rPr>
        <w:t xml:space="preserve"> </w:t>
      </w:r>
      <w:r>
        <w:rPr>
          <w:rFonts w:cs="Open Sans" w:ascii="Open Sans" w:hAnsi="Open Sans"/>
          <w:lang w:val="el-GR"/>
        </w:rPr>
        <w:t xml:space="preserve">το </w:t>
      </w:r>
      <w:r>
        <w:rPr>
          <w:rFonts w:cs="Open Sans" w:ascii="Open Sans" w:hAnsi="Open Sans"/>
          <w:lang w:val="en-GB"/>
        </w:rPr>
        <w:t>2023)</w:t>
      </w:r>
    </w:p>
    <w:p>
      <w:pPr>
        <w:pStyle w:val="Normal"/>
        <w:numPr>
          <w:ilvl w:val="1"/>
          <w:numId w:val="11"/>
        </w:numPr>
        <w:spacing w:lineRule="auto" w:line="240" w:before="0" w:after="0"/>
        <w:jc w:val="both"/>
        <w:rPr>
          <w:rFonts w:ascii="Open Sans" w:hAnsi="Open Sans" w:cs="Open Sans"/>
          <w:lang w:val="el-GR"/>
        </w:rPr>
      </w:pPr>
      <w:r>
        <w:rPr>
          <w:rFonts w:cs="Open Sans" w:ascii="Open Sans" w:hAnsi="Open Sans"/>
          <w:lang w:val="el-GR"/>
        </w:rPr>
        <w:t>Αποεπένδυση και εκκαθάριση (έως το 2030)</w:t>
      </w:r>
    </w:p>
    <w:p>
      <w:pPr>
        <w:pStyle w:val="Normal"/>
        <w:spacing w:lineRule="auto" w:line="240" w:before="0" w:after="0"/>
        <w:jc w:val="both"/>
        <w:rPr>
          <w:rFonts w:ascii="Open Sans" w:hAnsi="Open Sans" w:cs="Open Sans"/>
          <w:lang w:val="en-GB"/>
        </w:rPr>
      </w:pPr>
      <w:r>
        <w:rPr>
          <w:rFonts w:eastAsia="Aptos" w:cs="Open Sans" w:ascii="Open Sans" w:hAnsi="Open Sans"/>
          <w:b/>
          <w:bCs/>
          <w:lang w:val="el-GR"/>
        </w:rPr>
        <w:t>Πόροι</w:t>
      </w:r>
      <w:r>
        <w:rPr>
          <w:rFonts w:cs="Open Sans" w:ascii="Open Sans" w:hAnsi="Open Sans"/>
          <w:b/>
          <w:bCs/>
          <w:lang w:val="en-GB"/>
        </w:rPr>
        <w:t>:</w:t>
      </w:r>
    </w:p>
    <w:p>
      <w:pPr>
        <w:pStyle w:val="Normal"/>
        <w:numPr>
          <w:ilvl w:val="0"/>
          <w:numId w:val="12"/>
        </w:numPr>
        <w:spacing w:lineRule="auto" w:line="240" w:before="0" w:after="0"/>
        <w:jc w:val="both"/>
        <w:rPr>
          <w:rFonts w:ascii="Open Sans" w:hAnsi="Open Sans" w:cs="Open Sans"/>
          <w:lang w:val="en-GB"/>
        </w:rPr>
      </w:pPr>
      <w:r>
        <w:rPr>
          <w:rFonts w:cs="Open Sans" w:ascii="Open Sans" w:hAnsi="Open Sans"/>
          <w:b/>
          <w:bCs/>
          <w:lang w:val="el-GR"/>
        </w:rPr>
        <w:t>Σύνολο ενεργητικού</w:t>
      </w:r>
      <w:r>
        <w:rPr>
          <w:rFonts w:cs="Open Sans" w:ascii="Open Sans" w:hAnsi="Open Sans"/>
          <w:b/>
          <w:bCs/>
          <w:lang w:val="en-GB"/>
        </w:rPr>
        <w:t>:</w:t>
      </w:r>
    </w:p>
    <w:p>
      <w:pPr>
        <w:pStyle w:val="Normal"/>
        <w:numPr>
          <w:ilvl w:val="1"/>
          <w:numId w:val="12"/>
        </w:numPr>
        <w:spacing w:lineRule="auto" w:line="240" w:before="0" w:after="0"/>
        <w:jc w:val="both"/>
        <w:rPr>
          <w:rFonts w:ascii="Open Sans" w:hAnsi="Open Sans" w:cs="Open Sans"/>
          <w:lang w:val="en-GB"/>
        </w:rPr>
      </w:pPr>
      <w:r>
        <w:rPr>
          <w:rFonts w:cs="Open Sans" w:ascii="Open Sans" w:hAnsi="Open Sans"/>
          <w:lang w:val="en-GB"/>
        </w:rPr>
        <w:t>Sherry Ventures: 11.205 εκατ. €</w:t>
      </w:r>
    </w:p>
    <w:p>
      <w:pPr>
        <w:pStyle w:val="Normal"/>
        <w:numPr>
          <w:ilvl w:val="1"/>
          <w:numId w:val="12"/>
        </w:numPr>
        <w:spacing w:lineRule="auto" w:line="240" w:before="0" w:after="0"/>
        <w:jc w:val="both"/>
        <w:rPr>
          <w:rFonts w:ascii="Open Sans" w:hAnsi="Open Sans" w:cs="Open Sans"/>
          <w:lang w:val="en-GB"/>
        </w:rPr>
      </w:pPr>
      <w:r>
        <w:rPr>
          <w:rFonts w:cs="Open Sans" w:ascii="Open Sans" w:hAnsi="Open Sans"/>
          <w:lang w:val="en-GB"/>
        </w:rPr>
        <w:t>Alter Cap Andalucía: 15.152</w:t>
      </w:r>
      <w:r>
        <w:rPr>
          <w:rFonts w:cs="Open Sans" w:ascii="Open Sans" w:hAnsi="Open Sans"/>
          <w:lang w:val="el-GR"/>
        </w:rPr>
        <w:t xml:space="preserve"> </w:t>
      </w:r>
      <w:r>
        <w:rPr>
          <w:rFonts w:cs="Open Sans" w:ascii="Open Sans" w:hAnsi="Open Sans"/>
          <w:lang w:val="en-GB"/>
        </w:rPr>
        <w:t>εκατ. €</w:t>
      </w:r>
    </w:p>
    <w:p>
      <w:pPr>
        <w:pStyle w:val="Normal"/>
        <w:numPr>
          <w:ilvl w:val="1"/>
          <w:numId w:val="12"/>
        </w:numPr>
        <w:spacing w:lineRule="auto" w:line="240" w:before="0" w:after="0"/>
        <w:jc w:val="both"/>
        <w:rPr>
          <w:rFonts w:ascii="Open Sans" w:hAnsi="Open Sans" w:cs="Open Sans"/>
          <w:lang w:val="en-GB"/>
        </w:rPr>
      </w:pPr>
      <w:r>
        <w:rPr>
          <w:rFonts w:cs="Open Sans" w:ascii="Open Sans" w:hAnsi="Open Sans"/>
          <w:lang w:val="en-GB"/>
        </w:rPr>
        <w:t>Corporación Bética: 25</w:t>
      </w:r>
      <w:r>
        <w:rPr>
          <w:rFonts w:cs="Open Sans" w:ascii="Open Sans" w:hAnsi="Open Sans"/>
          <w:lang w:val="el-GR"/>
        </w:rPr>
        <w:t xml:space="preserve"> </w:t>
      </w:r>
      <w:r>
        <w:rPr>
          <w:rFonts w:cs="Open Sans" w:ascii="Open Sans" w:hAnsi="Open Sans"/>
          <w:lang w:val="en-GB"/>
        </w:rPr>
        <w:t>εκατ. €</w:t>
      </w:r>
    </w:p>
    <w:p>
      <w:pPr>
        <w:pStyle w:val="Normal"/>
        <w:numPr>
          <w:ilvl w:val="0"/>
          <w:numId w:val="12"/>
        </w:numPr>
        <w:spacing w:lineRule="auto" w:line="240" w:before="0" w:after="0"/>
        <w:jc w:val="both"/>
        <w:rPr>
          <w:rFonts w:ascii="Open Sans" w:hAnsi="Open Sans" w:cs="Open Sans"/>
          <w:lang w:val="el-GR"/>
        </w:rPr>
      </w:pPr>
      <w:r>
        <w:rPr>
          <w:rFonts w:cs="Open Sans" w:ascii="Open Sans" w:hAnsi="Open Sans"/>
          <w:b/>
          <w:bCs/>
          <w:lang w:val="el-GR"/>
        </w:rPr>
        <w:t>Δημόσιες και ιδιωτικές συνεισφορές:</w:t>
      </w:r>
      <w:r>
        <w:rPr>
          <w:rFonts w:cs="Open Sans" w:ascii="Open Sans" w:hAnsi="Open Sans"/>
          <w:lang w:val="el-GR"/>
        </w:rPr>
        <w:t xml:space="preserve"> Κινητοποίησε σημαντικές ιδιωτικές επενδύσεις παράλληλα με τους δημόσιους πόρους.</w:t>
      </w:r>
    </w:p>
    <w:p>
      <w:pPr>
        <w:pStyle w:val="Normal"/>
        <w:spacing w:lineRule="auto" w:line="240" w:before="0" w:after="0"/>
        <w:jc w:val="both"/>
        <w:rPr>
          <w:rFonts w:ascii="Open Sans" w:hAnsi="Open Sans" w:cs="Open Sans"/>
          <w:lang w:val="en-GB"/>
        </w:rPr>
      </w:pPr>
      <w:r>
        <w:rPr>
          <w:rFonts w:cs="Open Sans" w:ascii="Open Sans" w:hAnsi="Open Sans"/>
          <w:b/>
          <w:bCs/>
          <w:szCs w:val="24"/>
          <w:lang w:val="en-GB"/>
        </w:rPr>
        <w:t>Επιλεξιμότητα</w:t>
      </w:r>
      <w:r>
        <w:rPr>
          <w:rFonts w:cs="Open Sans" w:ascii="Open Sans" w:hAnsi="Open Sans"/>
          <w:b/>
          <w:bCs/>
          <w:lang w:val="en-GB"/>
        </w:rPr>
        <w:t>:</w:t>
      </w:r>
    </w:p>
    <w:p>
      <w:pPr>
        <w:pStyle w:val="Normal"/>
        <w:numPr>
          <w:ilvl w:val="0"/>
          <w:numId w:val="13"/>
        </w:numPr>
        <w:spacing w:lineRule="auto" w:line="240" w:before="0" w:after="0"/>
        <w:jc w:val="both"/>
        <w:rPr>
          <w:rFonts w:ascii="Open Sans" w:hAnsi="Open Sans" w:cs="Open Sans"/>
          <w:lang w:val="el-GR"/>
        </w:rPr>
      </w:pPr>
      <w:r>
        <w:rPr>
          <w:rFonts w:cs="Open Sans" w:ascii="Open Sans" w:hAnsi="Open Sans"/>
          <w:b/>
          <w:bCs/>
          <w:lang w:val="el-GR"/>
        </w:rPr>
        <w:t>ΜΜΕ:</w:t>
      </w:r>
      <w:r>
        <w:rPr>
          <w:rFonts w:cs="Open Sans" w:ascii="Open Sans" w:hAnsi="Open Sans"/>
          <w:lang w:val="el-GR"/>
        </w:rPr>
        <w:t xml:space="preserve"> Καινοτόμες, με δυνατότητες υψηλής ανάπτυξης</w:t>
      </w:r>
      <w:r>
        <w:rPr/>
        <w:t xml:space="preserve"> </w:t>
      </w:r>
      <w:r>
        <w:rPr>
          <w:rFonts w:cs="Open Sans" w:ascii="Open Sans" w:hAnsi="Open Sans"/>
          <w:lang w:val="el-GR"/>
        </w:rPr>
        <w:t xml:space="preserve">με έδρα ή έργα στην Ανδαλουσία. </w:t>
      </w:r>
    </w:p>
    <w:p>
      <w:pPr>
        <w:pStyle w:val="Normal"/>
        <w:numPr>
          <w:ilvl w:val="0"/>
          <w:numId w:val="13"/>
        </w:numPr>
        <w:spacing w:lineRule="auto" w:line="240" w:before="0" w:after="0"/>
        <w:jc w:val="both"/>
        <w:rPr>
          <w:rFonts w:ascii="Open Sans" w:hAnsi="Open Sans" w:cs="Open Sans"/>
          <w:lang w:val="el-GR"/>
        </w:rPr>
      </w:pPr>
      <w:r>
        <w:rPr>
          <w:rFonts w:cs="Open Sans" w:ascii="Open Sans" w:hAnsi="Open Sans"/>
          <w:b/>
          <w:bCs/>
          <w:lang w:val="el-GR"/>
        </w:rPr>
        <w:t>Επενδυτές:</w:t>
      </w:r>
      <w:r>
        <w:rPr>
          <w:rFonts w:cs="Open Sans" w:ascii="Open Sans" w:hAnsi="Open Sans"/>
          <w:lang w:val="el-GR"/>
        </w:rPr>
        <w:t xml:space="preserve"> Ιδιώτες και οντότητες υψηλής καθαρής αξίας με ελάχιστη επένδυση 100.000 €, κατανοώντας τους σχετικούς κινδύνους.</w:t>
      </w:r>
    </w:p>
    <w:p>
      <w:pPr>
        <w:pStyle w:val="Normal"/>
        <w:spacing w:lineRule="auto" w:line="240" w:before="0" w:after="0"/>
        <w:jc w:val="both"/>
        <w:rPr>
          <w:rFonts w:ascii="Open Sans" w:hAnsi="Open Sans" w:cs="Open Sans"/>
          <w:lang w:val="en-GB"/>
        </w:rPr>
      </w:pPr>
      <w:r>
        <w:rPr>
          <w:rFonts w:cs="Open Sans" w:ascii="Open Sans" w:hAnsi="Open Sans"/>
          <w:b/>
          <w:bCs/>
          <w:szCs w:val="24"/>
          <w:lang w:val="en-GB"/>
        </w:rPr>
        <w:t>Προκλήσεις &amp; Οφέλη</w:t>
      </w:r>
      <w:r>
        <w:rPr>
          <w:rFonts w:cs="Open Sans" w:ascii="Open Sans" w:hAnsi="Open Sans"/>
          <w:b/>
          <w:bCs/>
          <w:lang w:val="en-GB"/>
        </w:rPr>
        <w:t>:</w:t>
      </w:r>
    </w:p>
    <w:p>
      <w:pPr>
        <w:pStyle w:val="Normal"/>
        <w:numPr>
          <w:ilvl w:val="0"/>
          <w:numId w:val="14"/>
        </w:numPr>
        <w:spacing w:lineRule="auto" w:line="240" w:before="0" w:after="0"/>
        <w:jc w:val="both"/>
        <w:rPr>
          <w:rFonts w:ascii="Open Sans" w:hAnsi="Open Sans" w:cs="Open Sans"/>
          <w:lang w:val="el-GR"/>
        </w:rPr>
      </w:pPr>
      <w:r>
        <w:rPr>
          <w:rFonts w:cs="Open Sans" w:ascii="Open Sans" w:hAnsi="Open Sans"/>
          <w:b/>
          <w:bCs/>
          <w:szCs w:val="24"/>
          <w:lang w:val="el-GR"/>
        </w:rPr>
        <w:t>Προκλήσεις</w:t>
      </w:r>
      <w:r>
        <w:rPr>
          <w:rFonts w:cs="Open Sans" w:ascii="Open Sans" w:hAnsi="Open Sans"/>
          <w:b/>
          <w:bCs/>
          <w:lang w:val="el-GR"/>
        </w:rPr>
        <w:t>:</w:t>
      </w:r>
      <w:r>
        <w:rPr>
          <w:rFonts w:cs="Open Sans" w:ascii="Open Sans" w:hAnsi="Open Sans"/>
          <w:lang w:val="el-GR"/>
        </w:rPr>
        <w:t xml:space="preserve"> Ευθυγράμμιση της ιδιωτικής διαχείρισης με τις απαιτήσεις της δημόσιας διοίκησης, σύντομη επενδυτική περίοδος, επαλήθευση της ιδιωτικής συν-επένδυσης.</w:t>
      </w:r>
    </w:p>
    <w:p>
      <w:pPr>
        <w:pStyle w:val="Normal"/>
        <w:numPr>
          <w:ilvl w:val="0"/>
          <w:numId w:val="14"/>
        </w:numPr>
        <w:spacing w:lineRule="auto" w:line="240" w:before="0" w:after="0"/>
        <w:jc w:val="both"/>
        <w:rPr>
          <w:rFonts w:ascii="Open Sans" w:hAnsi="Open Sans" w:cs="Open Sans"/>
          <w:lang w:val="el-GR"/>
        </w:rPr>
      </w:pPr>
      <w:r>
        <w:rPr>
          <w:rFonts w:cs="Open Sans" w:ascii="Open Sans" w:hAnsi="Open Sans"/>
          <w:b/>
          <w:bCs/>
          <w:szCs w:val="24"/>
          <w:lang w:val="el-GR"/>
        </w:rPr>
        <w:t>Οφέλη</w:t>
      </w:r>
      <w:r>
        <w:rPr>
          <w:rFonts w:cs="Open Sans" w:ascii="Open Sans" w:hAnsi="Open Sans"/>
          <w:b/>
          <w:bCs/>
          <w:lang w:val="el-GR"/>
        </w:rPr>
        <w:t>:</w:t>
      </w:r>
      <w:r>
        <w:rPr>
          <w:rFonts w:cs="Open Sans" w:ascii="Open Sans" w:hAnsi="Open Sans"/>
          <w:lang w:val="el-GR"/>
        </w:rPr>
        <w:t xml:space="preserve"> Κινητοποιήθηκαν 2,24 € για κάθε δημόσιο ευρώ που επενδύθηκε, υποστήριξε 37 εταιρείες υψηλής ανάπτυξης και ενθάρρυνε ένα οικοσύστημα επιχειρηματικών κεφαλαίων στην Ανδαλουσία.</w:t>
      </w:r>
    </w:p>
    <w:p>
      <w:pPr>
        <w:pStyle w:val="Normal"/>
        <w:spacing w:before="0" w:after="0"/>
        <w:jc w:val="both"/>
        <w:rPr>
          <w:rFonts w:ascii="Open Sans" w:hAnsi="Open Sans" w:cs="Open Sans"/>
          <w:lang w:val="en-GB"/>
        </w:rPr>
      </w:pPr>
      <w:r>
        <w:rPr>
          <w:rFonts w:cs="Open Sans" w:ascii="Open Sans" w:hAnsi="Open Sans"/>
          <w:b/>
          <w:bCs/>
          <w:lang w:val="el-GR"/>
        </w:rPr>
        <w:t>Αποτελέσματα</w:t>
      </w:r>
      <w:r>
        <w:rPr>
          <w:rFonts w:cs="Open Sans" w:ascii="Open Sans" w:hAnsi="Open Sans"/>
          <w:b/>
          <w:bCs/>
          <w:lang w:val="en-GB"/>
        </w:rPr>
        <w:t xml:space="preserve"> &amp; </w:t>
      </w:r>
      <w:r>
        <w:rPr>
          <w:rFonts w:cs="Open Sans" w:ascii="Open Sans" w:hAnsi="Open Sans"/>
          <w:b/>
          <w:bCs/>
          <w:lang w:val="el-GR"/>
        </w:rPr>
        <w:t>Συνεχιζόμενος αντίκτυπος</w:t>
      </w:r>
      <w:r>
        <w:rPr>
          <w:rFonts w:cs="Open Sans" w:ascii="Open Sans" w:hAnsi="Open Sans"/>
          <w:b/>
          <w:bCs/>
          <w:lang w:val="en-GB"/>
        </w:rPr>
        <w:t>:</w:t>
      </w:r>
    </w:p>
    <w:p>
      <w:pPr>
        <w:pStyle w:val="Normal"/>
        <w:numPr>
          <w:ilvl w:val="0"/>
          <w:numId w:val="15"/>
        </w:numPr>
        <w:spacing w:before="0" w:after="0"/>
        <w:jc w:val="both"/>
        <w:rPr>
          <w:rFonts w:ascii="Open Sans" w:hAnsi="Open Sans" w:cs="Open Sans"/>
          <w:lang w:val="el-GR"/>
        </w:rPr>
      </w:pPr>
      <w:r>
        <w:rPr>
          <w:rFonts w:cs="Open Sans" w:ascii="Open Sans" w:hAnsi="Open Sans"/>
          <w:b/>
          <w:bCs/>
          <w:lang w:val="el-GR"/>
        </w:rPr>
        <w:t>Επιτυχία:</w:t>
      </w:r>
      <w:r>
        <w:rPr>
          <w:rFonts w:cs="Open Sans" w:ascii="Open Sans" w:hAnsi="Open Sans"/>
          <w:lang w:val="el-GR"/>
        </w:rPr>
        <w:t xml:space="preserve"> Το πρόγραμμα έχει κινητοποιήσει με επιτυχία σημαντικά ιδιωτικά κεφάλαια και έχει στηρίξει πολυάριθμες καινοτόμες ΜΜΕ.</w:t>
      </w:r>
    </w:p>
    <w:p>
      <w:pPr>
        <w:pStyle w:val="Normal"/>
        <w:numPr>
          <w:ilvl w:val="0"/>
          <w:numId w:val="15"/>
        </w:numPr>
        <w:spacing w:before="0" w:after="0"/>
        <w:jc w:val="both"/>
        <w:rPr>
          <w:rFonts w:ascii="Open Sans" w:hAnsi="Open Sans" w:cs="Open Sans"/>
          <w:lang w:val="el-GR"/>
        </w:rPr>
      </w:pPr>
      <w:r>
        <w:rPr>
          <w:rFonts w:cs="Open Sans" w:ascii="Open Sans" w:hAnsi="Open Sans"/>
          <w:b/>
          <w:bCs/>
          <w:lang w:val="el-GR"/>
        </w:rPr>
        <w:t>Μελλοντικά σχέδια:</w:t>
      </w:r>
      <w:r>
        <w:rPr>
          <w:rFonts w:cs="Open Sans" w:ascii="Open Sans" w:hAnsi="Open Sans"/>
          <w:lang w:val="el-GR"/>
        </w:rPr>
        <w:t xml:space="preserve"> Προετοιμασία νέων διαγωνισμών με υψηλότερες δημόσιες συνεισφορές. </w:t>
      </w:r>
    </w:p>
    <w:p>
      <w:pPr>
        <w:pStyle w:val="Normal"/>
        <w:spacing w:before="0" w:after="0"/>
        <w:jc w:val="both"/>
        <w:rPr>
          <w:rFonts w:ascii="Open Sans" w:hAnsi="Open Sans" w:cs="Open Sans"/>
          <w:lang w:val="el-GR"/>
        </w:rPr>
      </w:pPr>
      <w:r>
        <w:rPr>
          <w:rFonts w:cs="Segoe UI Emoji" w:ascii="Segoe UI Emoji" w:hAnsi="Segoe UI Emoji"/>
          <w:lang w:val="en-GB"/>
        </w:rPr>
        <w:t>📈</w:t>
      </w:r>
      <w:r>
        <w:rPr>
          <w:rFonts w:cs="Open Sans" w:ascii="Open Sans" w:hAnsi="Open Sans"/>
          <w:lang w:val="el-GR"/>
        </w:rPr>
        <w:t xml:space="preserve"> </w:t>
      </w:r>
      <w:r>
        <w:rPr>
          <w:rFonts w:eastAsia="Aptos" w:cs="Open Sans" w:ascii="Open Sans" w:hAnsi="Open Sans"/>
          <w:b/>
          <w:bCs/>
          <w:lang w:val="el-GR"/>
        </w:rPr>
        <w:t>Ιστορίες επιτυχίας:</w:t>
      </w:r>
      <w:r>
        <w:rPr>
          <w:rFonts w:cs="Open Sans" w:ascii="Open Sans" w:hAnsi="Open Sans"/>
          <w:lang w:val="el-GR"/>
        </w:rPr>
        <w:t xml:space="preserve"> Σημαντική συμβολή στην περιφερειακή οικονομική ανάπτυξη και καινοτομία. </w:t>
      </w:r>
    </w:p>
    <w:p>
      <w:pPr>
        <w:pStyle w:val="Normal"/>
        <w:spacing w:before="0" w:after="0"/>
        <w:jc w:val="both"/>
        <w:rPr>
          <w:rFonts w:ascii="Open Sans" w:hAnsi="Open Sans" w:cs="Open Sans"/>
          <w:lang w:val="en-GB"/>
        </w:rPr>
      </w:pPr>
      <w:r>
        <w:rPr>
          <w:rFonts w:cs="Segoe UI Emoji" w:ascii="Segoe UI Emoji" w:hAnsi="Segoe UI Emoji"/>
          <w:lang w:val="en-GB"/>
        </w:rPr>
        <w:t>🔗</w:t>
      </w:r>
      <w:r>
        <w:rPr>
          <w:rFonts w:cs="Open Sans" w:ascii="Open Sans" w:hAnsi="Open Sans"/>
          <w:lang w:val="en-GB"/>
        </w:rPr>
        <w:t xml:space="preserve"> </w:t>
      </w:r>
      <w:r>
        <w:rPr>
          <w:rFonts w:eastAsia="Aptos" w:cs="Open Sans" w:ascii="Open Sans" w:hAnsi="Open Sans"/>
          <w:b/>
          <w:bCs/>
          <w:lang w:val="el-GR"/>
        </w:rPr>
        <w:t>Μάθετε</w:t>
      </w:r>
      <w:r>
        <w:rPr>
          <w:rFonts w:eastAsia="Aptos" w:cs="Open Sans" w:ascii="Open Sans" w:hAnsi="Open Sans"/>
          <w:b/>
          <w:bCs/>
          <w:lang w:val="en-US"/>
        </w:rPr>
        <w:t xml:space="preserve"> </w:t>
      </w:r>
      <w:r>
        <w:rPr>
          <w:rFonts w:eastAsia="Aptos" w:cs="Open Sans" w:ascii="Open Sans" w:hAnsi="Open Sans"/>
          <w:b/>
          <w:bCs/>
          <w:lang w:val="el-GR"/>
        </w:rPr>
        <w:t>περισσότερα</w:t>
      </w:r>
      <w:r>
        <w:rPr>
          <w:rFonts w:cs="Open Sans" w:ascii="Open Sans" w:hAnsi="Open Sans"/>
          <w:b/>
          <w:bCs/>
          <w:lang w:val="en-GB"/>
        </w:rPr>
        <w:t>:</w:t>
      </w:r>
      <w:r>
        <w:rPr>
          <w:rFonts w:cs="Open Sans" w:ascii="Open Sans" w:hAnsi="Open Sans"/>
          <w:lang w:val="en-GB"/>
        </w:rPr>
        <w:t xml:space="preserve"> </w:t>
      </w:r>
      <w:hyperlink r:id="rId7" w:tgtFrame="_new">
        <w:r>
          <w:rPr>
            <w:rFonts w:cs="Open Sans" w:ascii="Open Sans" w:hAnsi="Open Sans"/>
            <w:lang w:val="en-GB"/>
          </w:rPr>
          <w:t>Investment Funds Andalusia</w:t>
        </w:r>
      </w:hyperlink>
    </w:p>
    <w:p>
      <w:pPr>
        <w:pStyle w:val="Normal"/>
        <w:spacing w:lineRule="auto" w:line="276" w:before="0" w:after="200"/>
        <w:rPr>
          <w:rFonts w:ascii="Open Sans" w:hAnsi="Open Sans" w:eastAsia="Times New Roman" w:cs="Open Sans"/>
          <w:color w:val="767171"/>
          <w:kern w:val="0"/>
          <w:sz w:val="20"/>
          <w:szCs w:val="20"/>
          <w:lang w:val="en-GB"/>
          <w14:ligatures w14:val="none"/>
        </w:rPr>
      </w:pPr>
      <w:r>
        <w:rPr>
          <w:rFonts w:eastAsia="Times New Roman" w:cs="Open Sans" w:ascii="Open Sans" w:hAnsi="Open Sans"/>
          <w:color w:val="767171"/>
          <w:kern w:val="0"/>
          <w:sz w:val="20"/>
          <w:szCs w:val="20"/>
          <w:lang w:val="en-GB"/>
          <w14:ligatures w14:val="none"/>
        </w:rPr>
      </w:r>
    </w:p>
    <w:p>
      <w:pPr>
        <w:pStyle w:val="Normal"/>
        <w:rPr>
          <w:rFonts w:ascii="Open Sans" w:hAnsi="Open Sans" w:cs="Open Sans"/>
          <w:b/>
          <w:b/>
          <w:bCs/>
          <w:i/>
          <w:i/>
          <w:iCs/>
          <w:color w:val="00A984"/>
          <w:sz w:val="28"/>
          <w:szCs w:val="28"/>
          <w:u w:val="single"/>
          <w:lang w:val="en-GB"/>
        </w:rPr>
      </w:pPr>
      <w:r>
        <w:rPr>
          <w:rFonts w:cs="Open Sans" w:ascii="Open Sans" w:hAnsi="Open Sans"/>
          <w:b/>
          <w:bCs/>
          <w:i/>
          <w:iCs/>
          <w:color w:val="00A984"/>
          <w:sz w:val="28"/>
          <w:szCs w:val="28"/>
          <w:u w:val="single"/>
          <w:lang w:val="en-GB"/>
        </w:rPr>
      </w:r>
      <w:r>
        <w:br w:type="page"/>
      </w:r>
    </w:p>
    <w:p>
      <w:pPr>
        <w:pStyle w:val="Normal"/>
        <w:jc w:val="both"/>
        <w:rPr>
          <w:rFonts w:ascii="Open Sans" w:hAnsi="Open Sans" w:cs="Open Sans"/>
          <w:b/>
          <w:b/>
          <w:bCs/>
          <w:i/>
          <w:i/>
          <w:iCs/>
          <w:color w:val="00A984"/>
          <w:sz w:val="28"/>
          <w:szCs w:val="28"/>
          <w:u w:val="single"/>
          <w:lang w:val="el-GR"/>
        </w:rPr>
      </w:pPr>
      <w:r>
        <w:rPr>
          <w:rFonts w:cs="Open Sans" w:ascii="Open Sans" w:hAnsi="Open Sans"/>
          <w:b/>
          <w:bCs/>
          <w:i/>
          <w:iCs/>
          <w:color w:val="00A984"/>
          <w:sz w:val="28"/>
          <w:szCs w:val="28"/>
          <w:u w:val="single"/>
          <w:lang w:val="el-GR"/>
        </w:rPr>
        <w:t>ΕΠΙΚΕΙΜΕΝΕΣ ΔΡΑΣΕΙΣ</w:t>
      </w:r>
    </w:p>
    <w:p>
      <w:pPr>
        <w:pStyle w:val="Default"/>
        <w:numPr>
          <w:ilvl w:val="0"/>
          <w:numId w:val="1"/>
        </w:numPr>
        <w:rPr>
          <w:b/>
          <w:b/>
          <w:bCs/>
          <w:color w:val="auto"/>
          <w:kern w:val="2"/>
          <w:sz w:val="22"/>
          <w:szCs w:val="22"/>
          <w:lang w:val="el-GR"/>
        </w:rPr>
      </w:pPr>
      <w:r>
        <w:rPr>
          <w:b/>
          <w:bCs/>
          <w:color w:val="auto"/>
          <w:kern w:val="2"/>
          <w:sz w:val="22"/>
          <w:szCs w:val="22"/>
          <w:lang w:val="el-GR"/>
        </w:rPr>
        <w:t>ΟΡΙΣΤΙΚΟΠΟΙΗΣΗ ΜΕΘΟΔΟΛΟΓΙΑΣ ΣΥΣΤΗΜΑΤΟΣ ΣΥΝΔΥΑΣΜΟΥ ΚΕΦΑΛΑΙΩΝ</w:t>
      </w:r>
    </w:p>
    <w:p>
      <w:pPr>
        <w:pStyle w:val="Default"/>
        <w:tabs>
          <w:tab w:val="clear" w:pos="708"/>
          <w:tab w:val="left" w:pos="3825" w:leader="none"/>
        </w:tabs>
        <w:jc w:val="both"/>
        <w:rPr>
          <w:rFonts w:eastAsia="Times New Roman"/>
          <w:color w:val="auto"/>
          <w:sz w:val="22"/>
          <w:szCs w:val="22"/>
          <w:lang w:val="el-GR"/>
          <w14:ligatures w14:val="none"/>
        </w:rPr>
      </w:pPr>
      <w:r>
        <w:rPr>
          <w:color w:val="auto"/>
          <w:kern w:val="2"/>
          <w:sz w:val="22"/>
          <w:szCs w:val="22"/>
          <w:lang w:val="el-GR"/>
        </w:rPr>
        <w:t xml:space="preserve">                                                                                                                                                                                                                                                                                      </w:t>
      </w:r>
      <w:r>
        <w:rPr>
          <w:rFonts w:eastAsia="Times New Roman"/>
          <w:color w:val="auto"/>
          <w:sz w:val="22"/>
          <w:szCs w:val="22"/>
          <w:lang w:val="el-GR"/>
          <w14:ligatures w14:val="none"/>
        </w:rPr>
        <w:t xml:space="preserve">                                                                                                                                                                                                                                                                                          </w:t>
      </w:r>
      <w:r>
        <w:rPr>
          <w:rFonts w:eastAsia="Times New Roman"/>
          <w:color w:val="auto"/>
          <w:sz w:val="22"/>
          <w:szCs w:val="22"/>
          <w:lang w:val="el-GR"/>
          <w14:ligatures w14:val="none"/>
        </w:rPr>
        <w:t>Το τελευταίο σημαντικό βήμα στη φάση προετοιμασίας των πιλοτικών έργων και των σχεδίων για τη βελτίωση των επιλεγμένων μέσων πολιτικής των περιφερειών είναι ο καθορισμός μιας κοινής ΜΕΘΟΔΟΛΟΓΙΑΣ ΣΥΣΤΗΜΑΤΟΣ ΣΥΝΔΥΑΣΜΟΥ ΚΕΦΑΛΑΙΩΝ που θα βοηθήσει στην αξιοποίηση των κονδυλίων των ΕΔΕΤ μέσω σχημάτων συμμετοχικής χρηματοδότησης στις περιφέρειες-εταίρους.</w:t>
      </w:r>
    </w:p>
    <w:p>
      <w:pPr>
        <w:pStyle w:val="Default"/>
        <w:ind w:left="720" w:hanging="0"/>
        <w:rPr>
          <w:b/>
          <w:b/>
          <w:bCs/>
          <w:color w:val="auto"/>
          <w:kern w:val="2"/>
          <w:sz w:val="22"/>
          <w:szCs w:val="22"/>
          <w:lang w:val="el-GR"/>
        </w:rPr>
      </w:pPr>
      <w:r>
        <w:rPr>
          <w:b/>
          <w:bCs/>
          <w:color w:val="auto"/>
          <w:kern w:val="2"/>
          <w:sz w:val="22"/>
          <w:szCs w:val="22"/>
          <w:lang w:val="el-GR"/>
        </w:rPr>
      </w:r>
    </w:p>
    <w:p>
      <w:pPr>
        <w:pStyle w:val="Default"/>
        <w:numPr>
          <w:ilvl w:val="0"/>
          <w:numId w:val="1"/>
        </w:numPr>
        <w:rPr>
          <w:b/>
          <w:b/>
          <w:bCs/>
          <w:color w:val="auto"/>
          <w:kern w:val="2"/>
          <w:sz w:val="22"/>
          <w:szCs w:val="22"/>
          <w:lang w:val="el-GR"/>
        </w:rPr>
      </w:pPr>
      <w:r>
        <w:rPr>
          <w:b/>
          <w:bCs/>
          <w:color w:val="auto"/>
          <w:kern w:val="2"/>
          <w:sz w:val="22"/>
          <w:szCs w:val="22"/>
          <w:lang w:val="el-GR"/>
        </w:rPr>
        <w:t>ΕΠΟΜΕΝΗ ΣΥΝΑΝΤΗΣΗ ΟΜΑΔΑΣ ΕΡΓΟΥ ΚΑΙ 3</w:t>
      </w:r>
      <w:r>
        <w:rPr>
          <w:b/>
          <w:bCs/>
          <w:color w:val="auto"/>
          <w:kern w:val="2"/>
          <w:sz w:val="22"/>
          <w:szCs w:val="22"/>
          <w:vertAlign w:val="superscript"/>
          <w:lang w:val="el-GR"/>
        </w:rPr>
        <w:t>ο</w:t>
      </w:r>
      <w:r>
        <w:rPr>
          <w:b/>
          <w:bCs/>
          <w:color w:val="auto"/>
          <w:kern w:val="2"/>
          <w:sz w:val="22"/>
          <w:szCs w:val="22"/>
          <w:lang w:val="el-GR"/>
        </w:rPr>
        <w:t xml:space="preserve"> ΔΙΑΚΡΑΤΙΚΟ ΕΡΓΑΣΤΗΡΙΟ ΣΤΟ ΒΙΛΝΙΟΥΣ ΤΗΣ ΛΙΘΟΥΑΝΙΑΣ </w:t>
      </w:r>
    </w:p>
    <w:p>
      <w:pPr>
        <w:pStyle w:val="Default"/>
        <w:ind w:left="720" w:hanging="0"/>
        <w:rPr>
          <w:b/>
          <w:b/>
          <w:bCs/>
          <w:color w:val="auto"/>
          <w:kern w:val="2"/>
          <w:sz w:val="22"/>
          <w:szCs w:val="22"/>
          <w:lang w:val="el-GR"/>
        </w:rPr>
      </w:pPr>
      <w:r>
        <w:rPr>
          <w:b/>
          <w:bCs/>
          <w:color w:val="auto"/>
          <w:kern w:val="2"/>
          <w:sz w:val="22"/>
          <w:szCs w:val="22"/>
          <w:lang w:val="el-GR"/>
        </w:rPr>
        <w:drawing>
          <wp:anchor behindDoc="0" distT="0" distB="0" distL="0" distR="114300" simplePos="0" locked="0" layoutInCell="0" allowOverlap="1" relativeHeight="26">
            <wp:simplePos x="0" y="0"/>
            <wp:positionH relativeFrom="margin">
              <wp:align>left</wp:align>
            </wp:positionH>
            <wp:positionV relativeFrom="paragraph">
              <wp:posOffset>189230</wp:posOffset>
            </wp:positionV>
            <wp:extent cx="3322955" cy="2214245"/>
            <wp:effectExtent l="0" t="0" r="0" b="0"/>
            <wp:wrapSquare wrapText="bothSides"/>
            <wp:docPr id="5" name="Slika 3" descr="Slika, ki vsebuje besede na prostem, voda, nebo, jezer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3" descr="Slika, ki vsebuje besede na prostem, voda, nebo, jezero&#10;&#10;Opis je samodejno ustvarjen"/>
                    <pic:cNvPicPr>
                      <a:picLocks noChangeAspect="1" noChangeArrowheads="1"/>
                    </pic:cNvPicPr>
                  </pic:nvPicPr>
                  <pic:blipFill>
                    <a:blip r:embed="rId8"/>
                    <a:stretch>
                      <a:fillRect/>
                    </a:stretch>
                  </pic:blipFill>
                  <pic:spPr bwMode="auto">
                    <a:xfrm>
                      <a:off x="0" y="0"/>
                      <a:ext cx="3322955" cy="2214245"/>
                    </a:xfrm>
                    <a:prstGeom prst="rect">
                      <a:avLst/>
                    </a:prstGeom>
                  </pic:spPr>
                </pic:pic>
              </a:graphicData>
            </a:graphic>
          </wp:anchor>
        </w:drawing>
      </w:r>
    </w:p>
    <w:p>
      <w:pPr>
        <w:pStyle w:val="Default"/>
        <w:jc w:val="both"/>
        <w:rPr>
          <w:rFonts w:eastAsia="Times New Roman"/>
          <w:color w:val="auto"/>
          <w:sz w:val="22"/>
          <w:szCs w:val="22"/>
          <w:lang w:val="el-GR"/>
        </w:rPr>
      </w:pPr>
      <w:r>
        <w:rPr>
          <w:rFonts w:eastAsia="Times New Roman"/>
          <w:color w:val="auto"/>
          <w:sz w:val="22"/>
          <w:szCs w:val="22"/>
          <w:lang w:val="el-GR"/>
        </w:rPr>
        <w:t>Στις 9 και 10 Οκτωβρίου 2024, οι εταίροι και τα ενδιαφερόμενα μέρη του έργου θα συναντηθούν στη Λιθουανία, όπου θα αξιολογήσουν τις προπαρασκευαστικές εργασίες του πιλοτικού έργου για να διασφαλίσουν τη διακρατική ανταλλαγή εμπειριών μεταξύ πιλοτικών έργων και να αξιολογήσουν τις ανάγκες καθοδήγησης από ομοτίμους από μη πιλοτικές περιοχές.</w:t>
      </w:r>
    </w:p>
    <w:p>
      <w:pPr>
        <w:pStyle w:val="Default"/>
        <w:rPr>
          <w:b/>
          <w:b/>
          <w:bCs/>
          <w:color w:val="auto"/>
          <w:kern w:val="2"/>
          <w:sz w:val="22"/>
          <w:szCs w:val="22"/>
          <w:lang w:val="el-GR"/>
          <w14:textOutline w14:w="9525" w14:cap="rnd" w14:cmpd="sng" w14:algn="ctr">
            <w14:noFill/>
            <w14:prstDash w14:val="solid"/>
            <w14:bevel/>
          </w14:textOutline>
        </w:rPr>
      </w:pPr>
      <w:hyperlink r:id="rId9">
        <w:r>
          <mc:AlternateContent>
            <mc:Choice Requires="wps">
              <w:drawing>
                <wp:anchor behindDoc="0" distT="0" distB="0" distL="0" distR="0" simplePos="0" locked="0" layoutInCell="0" allowOverlap="1" relativeHeight="27" wp14:anchorId="71AE7CCD">
                  <wp:simplePos x="0" y="0"/>
                  <wp:positionH relativeFrom="column">
                    <wp:posOffset>3339465</wp:posOffset>
                  </wp:positionH>
                  <wp:positionV relativeFrom="paragraph">
                    <wp:posOffset>7620</wp:posOffset>
                  </wp:positionV>
                  <wp:extent cx="2354580" cy="504825"/>
                  <wp:effectExtent l="0" t="0" r="0" b="0"/>
                  <wp:wrapNone/>
                  <wp:docPr id="6" name="Πλαίσιο κειμένου 1"/>
                  <a:graphic xmlns:a="http://schemas.openxmlformats.org/drawingml/2006/main">
                    <a:graphicData uri="http://schemas.microsoft.com/office/word/2010/wordprocessingShape">
                      <wps:wsp>
                        <wps:cNvSpPr/>
                        <wps:spPr>
                          <a:xfrm>
                            <a:off x="0" y="0"/>
                            <a:ext cx="2354760" cy="504720"/>
                          </a:xfrm>
                          <a:prstGeom prst="rect">
                            <a:avLst/>
                          </a:prstGeom>
                          <a:noFill/>
                          <a:ln w="6350">
                            <a:noFill/>
                          </a:ln>
                        </wps:spPr>
                        <wps:style>
                          <a:lnRef idx="0"/>
                          <a:fillRef idx="0"/>
                          <a:effectRef idx="0"/>
                          <a:fontRef idx="minor"/>
                        </wps:style>
                        <wps:txbx>
                          <w:txbxContent>
                            <w:p>
                              <w:pPr>
                                <w:pStyle w:val="Style25"/>
                                <w:spacing w:before="0" w:after="160"/>
                                <w:rPr/>
                              </w:pPr>
                              <w:r>
                                <w:rPr>
                                  <w:b/>
                                  <w:bCs/>
                                  <w:i/>
                                  <w:iCs/>
                                  <w:sz w:val="20"/>
                                  <w:szCs w:val="20"/>
                                  <w:lang w:val="el-GR"/>
                                </w:rPr>
                                <w:t>Πηγή</w:t>
                              </w:r>
                              <w:r>
                                <w:rPr>
                                  <w:b/>
                                  <w:bCs/>
                                  <w:i/>
                                  <w:iCs/>
                                  <w:sz w:val="20"/>
                                  <w:szCs w:val="20"/>
                                  <w:lang w:val="en-US"/>
                                </w:rPr>
                                <w:t xml:space="preserve"> </w:t>
                              </w:r>
                              <w:r>
                                <w:rPr>
                                  <w:b/>
                                  <w:bCs/>
                                  <w:i/>
                                  <w:iCs/>
                                  <w:sz w:val="20"/>
                                  <w:szCs w:val="20"/>
                                  <w:lang w:val="el-GR"/>
                                </w:rPr>
                                <w:t>φωτογραφίας</w:t>
                              </w:r>
                              <w:r>
                                <w:rPr>
                                  <w:b/>
                                  <w:bCs/>
                                  <w:i/>
                                  <w:iCs/>
                                  <w:sz w:val="20"/>
                                  <w:szCs w:val="20"/>
                                  <w:lang w:val="en-GB"/>
                                </w:rPr>
                                <w:t>:</w:t>
                              </w:r>
                              <w:r>
                                <w:rPr/>
                                <w:t xml:space="preserve"> </w:t>
                              </w:r>
                              <w:r>
                                <w:rPr>
                                  <w:b/>
                                  <w:bCs/>
                                  <w:i/>
                                  <w:iCs/>
                                  <w:sz w:val="20"/>
                                  <w:szCs w:val="20"/>
                                  <w:lang w:val="en-GB"/>
                                </w:rPr>
                                <w:t>(Summer-Sunny</w:t>
                              </w:r>
                              <w:r>
                                <w:rPr>
                                  <w:b/>
                                  <w:bCs/>
                                  <w:i/>
                                  <w:iCs/>
                                  <w:sz w:val="20"/>
                                  <w:szCs w:val="20"/>
                                  <w:lang w:val="en-US"/>
                                </w:rPr>
                                <w:t>-</w:t>
                              </w:r>
                              <w:r>
                                <w:rPr>
                                  <w:b/>
                                  <w:bCs/>
                                  <w:i/>
                                  <w:iCs/>
                                  <w:sz w:val="20"/>
                                  <w:szCs w:val="20"/>
                                  <w:lang w:val="en-GB"/>
                                </w:rPr>
                                <w:t>IllustrativePhotos-AHOY-2023)</w:t>
                              </w:r>
                            </w:p>
                          </w:txbxContent>
                        </wps:txbx>
                        <wps:bodyPr anchor="t">
                          <a:prstTxWarp prst="textNoShape"/>
                          <a:noAutofit/>
                        </wps:bodyPr>
                      </wps:wsp>
                    </a:graphicData>
                  </a:graphic>
                </wp:anchor>
              </w:drawing>
            </mc:Choice>
            <mc:Fallback>
              <w:pict>
                <v:rect id="shape_0" ID="Πλαίσιο κειμένου 1" path="m0,0l-2147483645,0l-2147483645,-2147483646l0,-2147483646xe" stroked="f" o:allowincell="f" style="position:absolute;margin-left:262.95pt;margin-top:0.6pt;width:185.35pt;height:39.7pt;mso-wrap-style:square;v-text-anchor:top" wp14:anchorId="71AE7CCD">
                  <v:fill o:detectmouseclick="t" on="false"/>
                  <v:stroke color="#3465a4" weight="6480" joinstyle="round" endcap="flat"/>
                  <v:textbox>
                    <w:txbxContent>
                      <w:p>
                        <w:pPr>
                          <w:pStyle w:val="Style25"/>
                          <w:spacing w:before="0" w:after="160"/>
                          <w:rPr/>
                        </w:pPr>
                        <w:r>
                          <w:rPr>
                            <w:b/>
                            <w:bCs/>
                            <w:i/>
                            <w:iCs/>
                            <w:sz w:val="20"/>
                            <w:szCs w:val="20"/>
                            <w:lang w:val="el-GR"/>
                          </w:rPr>
                          <w:t>Πηγή</w:t>
                        </w:r>
                        <w:r>
                          <w:rPr>
                            <w:b/>
                            <w:bCs/>
                            <w:i/>
                            <w:iCs/>
                            <w:sz w:val="20"/>
                            <w:szCs w:val="20"/>
                            <w:lang w:val="en-US"/>
                          </w:rPr>
                          <w:t xml:space="preserve"> </w:t>
                        </w:r>
                        <w:r>
                          <w:rPr>
                            <w:b/>
                            <w:bCs/>
                            <w:i/>
                            <w:iCs/>
                            <w:sz w:val="20"/>
                            <w:szCs w:val="20"/>
                            <w:lang w:val="el-GR"/>
                          </w:rPr>
                          <w:t>φωτογραφίας</w:t>
                        </w:r>
                        <w:r>
                          <w:rPr>
                            <w:b/>
                            <w:bCs/>
                            <w:i/>
                            <w:iCs/>
                            <w:sz w:val="20"/>
                            <w:szCs w:val="20"/>
                            <w:lang w:val="en-GB"/>
                          </w:rPr>
                          <w:t>:</w:t>
                        </w:r>
                        <w:r>
                          <w:rPr/>
                          <w:t xml:space="preserve"> </w:t>
                        </w:r>
                        <w:r>
                          <w:rPr>
                            <w:b/>
                            <w:bCs/>
                            <w:i/>
                            <w:iCs/>
                            <w:sz w:val="20"/>
                            <w:szCs w:val="20"/>
                            <w:lang w:val="en-GB"/>
                          </w:rPr>
                          <w:t>(Summer-Sunny</w:t>
                        </w:r>
                        <w:r>
                          <w:rPr>
                            <w:b/>
                            <w:bCs/>
                            <w:i/>
                            <w:iCs/>
                            <w:sz w:val="20"/>
                            <w:szCs w:val="20"/>
                            <w:lang w:val="en-US"/>
                          </w:rPr>
                          <w:t>-</w:t>
                        </w:r>
                        <w:r>
                          <w:rPr>
                            <w:b/>
                            <w:bCs/>
                            <w:i/>
                            <w:iCs/>
                            <w:sz w:val="20"/>
                            <w:szCs w:val="20"/>
                            <w:lang w:val="en-GB"/>
                          </w:rPr>
                          <w:t>IllustrativePhotos-AHOY-2023)</w:t>
                        </w:r>
                      </w:p>
                    </w:txbxContent>
                  </v:textbox>
                  <w10:wrap type="none"/>
                </v:rect>
              </w:pict>
            </mc:Fallback>
          </mc:AlternateContent>
        </w:r>
        <w:r>
          <w:rPr>
            <w:b/>
            <w:bCs/>
            <w:i/>
            <w:iCs/>
            <w:kern w:val="2"/>
            <w:sz w:val="20"/>
            <w:szCs w:val="20"/>
            <w:lang w:val="en-GB"/>
          </w:rPr>
          <w:t>https</w:t>
        </w:r>
        <w:r>
          <w:rPr>
            <w:b/>
            <w:bCs/>
            <w:i/>
            <w:iCs/>
            <w:kern w:val="2"/>
            <w:sz w:val="20"/>
            <w:szCs w:val="20"/>
            <w:lang w:val="el-GR"/>
          </w:rPr>
          <w:t>://</w:t>
        </w:r>
        <w:r>
          <w:rPr>
            <w:b/>
            <w:bCs/>
            <w:i/>
            <w:iCs/>
            <w:kern w:val="2"/>
            <w:sz w:val="20"/>
            <w:szCs w:val="20"/>
            <w:lang w:val="en-GB"/>
          </w:rPr>
          <w:t>www</w:t>
        </w:r>
        <w:r>
          <w:rPr>
            <w:b/>
            <w:bCs/>
            <w:i/>
            <w:iCs/>
            <w:kern w:val="2"/>
            <w:sz w:val="20"/>
            <w:szCs w:val="20"/>
            <w:lang w:val="el-GR"/>
          </w:rPr>
          <w:t>.</w:t>
        </w:r>
        <w:r>
          <w:rPr>
            <w:b/>
            <w:bCs/>
            <w:i/>
            <w:iCs/>
            <w:kern w:val="2"/>
            <w:sz w:val="20"/>
            <w:szCs w:val="20"/>
            <w:lang w:val="en-GB"/>
          </w:rPr>
          <w:t>govilnius</w:t>
        </w:r>
        <w:r>
          <w:rPr>
            <w:b/>
            <w:bCs/>
            <w:i/>
            <w:iCs/>
            <w:kern w:val="2"/>
            <w:sz w:val="20"/>
            <w:szCs w:val="20"/>
            <w:lang w:val="el-GR"/>
          </w:rPr>
          <w:t>.</w:t>
        </w:r>
        <w:r>
          <w:rPr>
            <w:b/>
            <w:bCs/>
            <w:i/>
            <w:iCs/>
            <w:kern w:val="2"/>
            <w:sz w:val="20"/>
            <w:szCs w:val="20"/>
            <w:lang w:val="en-GB"/>
          </w:rPr>
          <w:t>lt</w:t>
        </w:r>
        <w:r>
          <w:rPr>
            <w:b/>
            <w:bCs/>
            <w:i/>
            <w:iCs/>
            <w:kern w:val="2"/>
            <w:sz w:val="20"/>
            <w:szCs w:val="20"/>
            <w:lang w:val="el-GR"/>
          </w:rPr>
          <w:t>/</w:t>
        </w:r>
        <w:r>
          <w:rPr>
            <w:b/>
            <w:bCs/>
            <w:i/>
            <w:iCs/>
            <w:kern w:val="2"/>
            <w:sz w:val="20"/>
            <w:szCs w:val="20"/>
            <w:lang w:val="en-GB"/>
          </w:rPr>
          <w:t>photos</w:t>
        </w:r>
        <w:r>
          <w:rPr>
            <w:b/>
            <w:bCs/>
            <w:i/>
            <w:iCs/>
            <w:kern w:val="2"/>
            <w:sz w:val="20"/>
            <w:szCs w:val="20"/>
            <w:lang w:val="el-GR"/>
          </w:rPr>
          <w:t>-</w:t>
        </w:r>
        <w:r>
          <w:rPr>
            <w:b/>
            <w:bCs/>
            <w:i/>
            <w:iCs/>
            <w:kern w:val="2"/>
            <w:sz w:val="20"/>
            <w:szCs w:val="20"/>
            <w:lang w:val="en-GB"/>
          </w:rPr>
          <w:t>of</w:t>
        </w:r>
        <w:r>
          <w:rPr>
            <w:b/>
            <w:bCs/>
            <w:i/>
            <w:iCs/>
            <w:kern w:val="2"/>
            <w:sz w:val="20"/>
            <w:szCs w:val="20"/>
            <w:lang w:val="el-GR"/>
          </w:rPr>
          <w:t>-</w:t>
        </w:r>
        <w:r>
          <w:rPr>
            <w:b/>
            <w:bCs/>
            <w:i/>
            <w:iCs/>
            <w:kern w:val="2"/>
            <w:sz w:val="20"/>
            <w:szCs w:val="20"/>
            <w:lang w:val="en-GB"/>
          </w:rPr>
          <w:t>vilnius</w:t>
        </w:r>
      </w:hyperlink>
      <w:r>
        <w:rPr>
          <w:b/>
          <w:bCs/>
          <w:color w:val="auto"/>
          <w:kern w:val="2"/>
          <w:sz w:val="22"/>
          <w:szCs w:val="22"/>
          <w:lang w:val="el-GR"/>
        </w:rPr>
        <w:t xml:space="preserve">                          </w:t>
      </w:r>
    </w:p>
    <w:p>
      <w:pPr>
        <w:pStyle w:val="Default"/>
        <w:jc w:val="both"/>
        <w:rPr>
          <w:rFonts w:eastAsia="Times New Roman"/>
          <w:color w:val="auto"/>
          <w:sz w:val="22"/>
          <w:szCs w:val="22"/>
          <w:lang w:val="el-GR"/>
          <w14:ligatures w14:val="none"/>
        </w:rPr>
      </w:pPr>
      <w:r>
        <w:rPr>
          <w:rFonts w:eastAsia="Times New Roman"/>
          <w:color w:val="auto"/>
          <w:sz w:val="22"/>
          <w:szCs w:val="22"/>
          <w:lang w:val="el-GR"/>
          <w14:ligatures w14:val="none"/>
        </w:rPr>
      </w:r>
    </w:p>
    <w:p>
      <w:pPr>
        <w:pStyle w:val="Default"/>
        <w:ind w:left="720" w:hanging="0"/>
        <w:rPr>
          <w:b/>
          <w:b/>
          <w:bCs/>
          <w:color w:val="auto"/>
          <w:kern w:val="2"/>
          <w:sz w:val="22"/>
          <w:szCs w:val="22"/>
          <w:lang w:val="el-GR"/>
        </w:rPr>
      </w:pPr>
      <w:r>
        <w:rPr>
          <w:b/>
          <w:bCs/>
          <w:color w:val="auto"/>
          <w:kern w:val="2"/>
          <w:sz w:val="22"/>
          <w:szCs w:val="22"/>
          <w:lang w:val="el-GR"/>
        </w:rPr>
      </w:r>
    </w:p>
    <w:p>
      <w:pPr>
        <w:pStyle w:val="Default"/>
        <w:ind w:left="720" w:hanging="0"/>
        <w:rPr>
          <w:b/>
          <w:b/>
          <w:bCs/>
          <w:color w:val="auto"/>
          <w:kern w:val="2"/>
          <w:sz w:val="22"/>
          <w:szCs w:val="22"/>
          <w:lang w:val="el-GR"/>
        </w:rPr>
      </w:pPr>
      <w:r>
        <w:rPr>
          <w:b/>
          <w:bCs/>
          <w:color w:val="auto"/>
          <w:kern w:val="2"/>
          <w:sz w:val="22"/>
          <w:szCs w:val="22"/>
          <w:lang w:val="el-GR"/>
        </w:rPr>
      </w:r>
    </w:p>
    <w:p>
      <w:pPr>
        <w:pStyle w:val="Normal"/>
        <w:jc w:val="both"/>
        <w:rPr>
          <w:rFonts w:ascii="Open Sans" w:hAnsi="Open Sans" w:cs="Open Sans"/>
          <w:b/>
          <w:b/>
          <w:bCs/>
          <w:i/>
          <w:i/>
          <w:iCs/>
          <w:color w:val="00A984"/>
          <w:sz w:val="28"/>
          <w:szCs w:val="28"/>
          <w:u w:val="single"/>
          <w:lang w:val="el-GR"/>
        </w:rPr>
      </w:pPr>
      <w:r>
        <w:rPr>
          <w:rFonts w:cs="Open Sans" w:ascii="Open Sans" w:hAnsi="Open Sans"/>
          <w:b/>
          <w:bCs/>
          <w:i/>
          <w:iCs/>
          <w:color w:val="00A984"/>
          <w:sz w:val="28"/>
          <w:szCs w:val="28"/>
          <w:u w:val="single"/>
          <w:lang w:val="el-GR"/>
        </w:rPr>
        <w:t>ΒΡΕΙΤΕ ΜΑΣ ΣΤΑ ΜΕΣΑ ΚΟΙΝΩΝΙΚΗΣ ΔΙΚΤΥΩΣΗΣ</w:t>
      </w:r>
    </w:p>
    <w:tbl>
      <w:tblPr>
        <w:tblStyle w:val="a5"/>
        <w:tblW w:w="9062"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122"/>
        <w:gridCol w:w="6939"/>
      </w:tblGrid>
      <w:tr>
        <w:trPr/>
        <w:tc>
          <w:tcPr>
            <w:tcW w:w="2122" w:type="dxa"/>
            <w:tcBorders>
              <w:top w:val="nil"/>
              <w:left w:val="nil"/>
              <w:bottom w:val="nil"/>
              <w:right w:val="nil"/>
            </w:tcBorders>
            <w:vAlign w:val="center"/>
          </w:tcPr>
          <w:p>
            <w:pPr>
              <w:pStyle w:val="Normal"/>
              <w:widowControl/>
              <w:spacing w:lineRule="auto" w:line="240" w:before="0" w:after="0"/>
              <w:jc w:val="center"/>
              <w:rPr>
                <w:rFonts w:ascii="Open Sans" w:hAnsi="Open Sans" w:cs="Open Sans"/>
                <w:lang w:val="en-GB"/>
              </w:rPr>
            </w:pPr>
            <w:r>
              <w:rPr>
                <w:rFonts w:eastAsia="Calibri"/>
                <w:kern w:val="2"/>
                <w:sz w:val="22"/>
                <w:szCs w:val="22"/>
                <w:lang w:val="sl-SI" w:eastAsia="en-US" w:bidi="ar-SA"/>
              </w:rPr>
              <w:drawing>
                <wp:inline distT="0" distB="0" distL="0" distR="0">
                  <wp:extent cx="255905" cy="255905"/>
                  <wp:effectExtent l="0" t="0" r="0" b="0"/>
                  <wp:docPr id="8" name="Slika 14893993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ka 1489399392" descr=""/>
                          <pic:cNvPicPr>
                            <a:picLocks noChangeAspect="1" noChangeArrowheads="1"/>
                          </pic:cNvPicPr>
                        </pic:nvPicPr>
                        <pic:blipFill>
                          <a:blip r:embed="rId10"/>
                          <a:stretch>
                            <a:fillRect/>
                          </a:stretch>
                        </pic:blipFill>
                        <pic:spPr bwMode="auto">
                          <a:xfrm>
                            <a:off x="0" y="0"/>
                            <a:ext cx="255905" cy="255905"/>
                          </a:xfrm>
                          <a:prstGeom prst="rect">
                            <a:avLst/>
                          </a:prstGeom>
                        </pic:spPr>
                      </pic:pic>
                    </a:graphicData>
                  </a:graphic>
                </wp:inline>
              </w:drawing>
            </w:r>
          </w:p>
        </w:tc>
        <w:tc>
          <w:tcPr>
            <w:tcW w:w="6939" w:type="dxa"/>
            <w:tcBorders>
              <w:top w:val="nil"/>
              <w:left w:val="nil"/>
              <w:bottom w:val="nil"/>
              <w:right w:val="nil"/>
            </w:tcBorders>
            <w:vAlign w:val="center"/>
          </w:tcPr>
          <w:p>
            <w:pPr>
              <w:pStyle w:val="Normal"/>
              <w:widowControl/>
              <w:spacing w:lineRule="auto" w:line="240" w:before="0" w:after="0"/>
              <w:jc w:val="left"/>
              <w:rPr>
                <w:rFonts w:ascii="Open Sans" w:hAnsi="Open Sans" w:eastAsia="Times New Roman" w:cs="Open Sans"/>
                <w:sz w:val="20"/>
                <w:szCs w:val="20"/>
                <w:lang w:val="en-GB"/>
              </w:rPr>
            </w:pPr>
            <w:hyperlink r:id="rId11">
              <w:r>
                <w:rPr>
                  <w:rFonts w:eastAsia="Times New Roman" w:cs="Open Sans" w:ascii="Open Sans" w:hAnsi="Open Sans"/>
                  <w:kern w:val="2"/>
                  <w:sz w:val="20"/>
                  <w:szCs w:val="20"/>
                  <w:lang w:val="en-GB" w:eastAsia="en-US" w:bidi="ar-SA"/>
                </w:rPr>
                <w:t>https://www.interregeurope.eu/crowdfundmatch</w:t>
              </w:r>
            </w:hyperlink>
          </w:p>
          <w:p>
            <w:pPr>
              <w:pStyle w:val="Normal"/>
              <w:widowControl/>
              <w:spacing w:lineRule="auto" w:line="240" w:before="0" w:after="0"/>
              <w:jc w:val="left"/>
              <w:rPr>
                <w:rFonts w:ascii="Open Sans" w:hAnsi="Open Sans" w:cs="Open Sans"/>
                <w:lang w:val="en-GB"/>
              </w:rPr>
            </w:pPr>
            <w:r>
              <w:rPr>
                <w:rFonts w:eastAsia="Calibri" w:cs="Open Sans" w:ascii="Open Sans" w:hAnsi="Open Sans"/>
                <w:kern w:val="2"/>
                <w:sz w:val="22"/>
                <w:szCs w:val="22"/>
                <w:lang w:val="sl-SI" w:eastAsia="en-US" w:bidi="ar-SA"/>
              </w:rPr>
            </w:r>
          </w:p>
        </w:tc>
      </w:tr>
      <w:tr>
        <w:trPr/>
        <w:tc>
          <w:tcPr>
            <w:tcW w:w="2122" w:type="dxa"/>
            <w:tcBorders>
              <w:top w:val="nil"/>
              <w:left w:val="nil"/>
              <w:bottom w:val="nil"/>
              <w:right w:val="nil"/>
            </w:tcBorders>
            <w:vAlign w:val="center"/>
          </w:tcPr>
          <w:p>
            <w:pPr>
              <w:pStyle w:val="Normal"/>
              <w:widowControl/>
              <w:spacing w:lineRule="auto" w:line="240" w:before="0" w:after="0"/>
              <w:jc w:val="center"/>
              <w:rPr>
                <w:rFonts w:ascii="Open Sans" w:hAnsi="Open Sans" w:cs="Open Sans"/>
                <w:lang w:val="en-GB"/>
              </w:rPr>
            </w:pPr>
            <w:r>
              <w:rPr>
                <w:rFonts w:eastAsia="Calibri"/>
                <w:kern w:val="2"/>
                <w:sz w:val="22"/>
                <w:szCs w:val="22"/>
                <w:lang w:val="sl-SI" w:eastAsia="en-US" w:bidi="ar-SA"/>
              </w:rPr>
              <mc:AlternateContent>
                <mc:Choice Requires="wps">
                  <w:drawing>
                    <wp:inline distT="0" distB="0" distL="0" distR="0" wp14:anchorId="4DEF4CFB">
                      <wp:extent cx="832485" cy="279400"/>
                      <wp:effectExtent l="0" t="0" r="5715" b="6350"/>
                      <wp:docPr id="9" name="Picture 2"/>
                      <a:graphic xmlns:a="http://schemas.openxmlformats.org/drawingml/2006/main">
                        <a:graphicData uri="http://schemas.openxmlformats.org/drawingml/2006/picture">
                          <pic:pic xmlns:pic="http://schemas.openxmlformats.org/drawingml/2006/picture">
                            <pic:nvPicPr>
                              <pic:cNvPr id="0" name="Picture 2" descr=""/>
                              <pic:cNvPicPr/>
                            </pic:nvPicPr>
                            <pic:blipFill>
                              <a:blip r:embed="rId12">
                                <a:extLst>
                                  <a:ext uri="{BEBA8EAE-BF5A-486C-A8C5-ECC9F3942E4B}">
                                    <a14:imgProps xmlns:a14="http://schemas.microsoft.com/office/drawing/2010/main">
                                      <a14:imgLayer r:embed="rId13">
                                        <a14:imgEffect>
                                          <a14:saturation sat="33000"/>
                                        </a14:imgEffect>
                                      </a14:imgLayer>
                                    </a14:imgProps>
                                  </a:ext>
                                </a:extLst>
                              </a:blip>
                              <a:stretch/>
                            </pic:blipFill>
                            <pic:spPr>
                              <a:xfrm>
                                <a:off x="0" y="0"/>
                                <a:ext cx="832320" cy="279360"/>
                              </a:xfrm>
                              <a:prstGeom prst="rect">
                                <a:avLst/>
                              </a:prstGeom>
                              <a:ln w="0">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Picture 2" stroked="f" o:allowincell="f" style="position:absolute;margin-left:0pt;margin-top:-22.55pt;width:65.5pt;height:21.95pt;mso-wrap-style:none;v-text-anchor:middle;mso-position-vertical:top" wp14:anchorId="4DEF4CFB" type="_x0000_t75">
                      <v:imagedata r:id="rId14" o:detectmouseclick="t"/>
                      <v:stroke color="#3465a4" joinstyle="round" endcap="flat"/>
                      <w10:wrap type="square"/>
                    </v:shape>
                  </w:pict>
                </mc:Fallback>
              </mc:AlternateContent>
            </w:r>
          </w:p>
        </w:tc>
        <w:tc>
          <w:tcPr>
            <w:tcW w:w="6939" w:type="dxa"/>
            <w:tcBorders>
              <w:top w:val="nil"/>
              <w:left w:val="nil"/>
              <w:bottom w:val="nil"/>
              <w:right w:val="nil"/>
            </w:tcBorders>
            <w:vAlign w:val="center"/>
          </w:tcPr>
          <w:p>
            <w:pPr>
              <w:pStyle w:val="Normal"/>
              <w:widowControl/>
              <w:spacing w:lineRule="auto" w:line="240" w:before="0" w:after="0"/>
              <w:jc w:val="left"/>
              <w:rPr>
                <w:rFonts w:ascii="Open Sans" w:hAnsi="Open Sans" w:eastAsia="Times New Roman" w:cs="Open Sans"/>
                <w:sz w:val="20"/>
                <w:szCs w:val="20"/>
                <w:lang w:val="en-GB"/>
              </w:rPr>
            </w:pPr>
            <w:hyperlink r:id="rId15">
              <w:r>
                <w:rPr>
                  <w:rFonts w:eastAsia="Times New Roman" w:cs="Open Sans" w:ascii="Open Sans" w:hAnsi="Open Sans"/>
                  <w:kern w:val="2"/>
                  <w:sz w:val="20"/>
                  <w:szCs w:val="20"/>
                  <w:lang w:val="en-GB" w:eastAsia="en-US" w:bidi="ar-SA"/>
                </w:rPr>
                <w:t>https://www.linkedin.com/company/crowd-fund-match/</w:t>
              </w:r>
            </w:hyperlink>
          </w:p>
          <w:p>
            <w:pPr>
              <w:pStyle w:val="Normal"/>
              <w:widowControl/>
              <w:spacing w:lineRule="auto" w:line="240" w:before="0" w:after="0"/>
              <w:jc w:val="left"/>
              <w:rPr>
                <w:rFonts w:ascii="Open Sans" w:hAnsi="Open Sans" w:cs="Open Sans"/>
                <w:lang w:val="en-GB"/>
              </w:rPr>
            </w:pPr>
            <w:r>
              <w:rPr>
                <w:rFonts w:eastAsia="Calibri" w:cs="Open Sans" w:ascii="Open Sans" w:hAnsi="Open Sans"/>
                <w:kern w:val="2"/>
                <w:sz w:val="22"/>
                <w:szCs w:val="22"/>
                <w:lang w:val="sl-SI" w:eastAsia="en-US" w:bidi="ar-SA"/>
              </w:rPr>
            </w:r>
          </w:p>
        </w:tc>
      </w:tr>
      <w:tr>
        <w:trPr/>
        <w:tc>
          <w:tcPr>
            <w:tcW w:w="2122" w:type="dxa"/>
            <w:tcBorders>
              <w:top w:val="nil"/>
              <w:left w:val="nil"/>
              <w:bottom w:val="nil"/>
              <w:right w:val="nil"/>
            </w:tcBorders>
            <w:vAlign w:val="center"/>
          </w:tcPr>
          <w:p>
            <w:pPr>
              <w:pStyle w:val="Normal"/>
              <w:widowControl/>
              <w:spacing w:lineRule="auto" w:line="240" w:before="0" w:after="0"/>
              <w:jc w:val="center"/>
              <w:rPr>
                <w:rFonts w:ascii="Open Sans" w:hAnsi="Open Sans" w:cs="Open Sans"/>
                <w:lang w:val="en-GB"/>
              </w:rPr>
            </w:pPr>
            <w:r>
              <w:rPr>
                <w:rFonts w:eastAsia="Calibri"/>
                <w:kern w:val="2"/>
                <w:sz w:val="22"/>
                <w:szCs w:val="22"/>
                <w:lang w:val="sl-SI" w:eastAsia="en-US" w:bidi="ar-SA"/>
              </w:rPr>
              <w:drawing>
                <wp:inline distT="0" distB="0" distL="0" distR="0">
                  <wp:extent cx="121920" cy="262255"/>
                  <wp:effectExtent l="0" t="0" r="0" b="0"/>
                  <wp:docPr id="10" name="Slika 12262788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ka 1226278832" descr=""/>
                          <pic:cNvPicPr>
                            <a:picLocks noChangeAspect="1" noChangeArrowheads="1"/>
                          </pic:cNvPicPr>
                        </pic:nvPicPr>
                        <pic:blipFill>
                          <a:blip r:embed="rId16"/>
                          <a:stretch>
                            <a:fillRect/>
                          </a:stretch>
                        </pic:blipFill>
                        <pic:spPr bwMode="auto">
                          <a:xfrm>
                            <a:off x="0" y="0"/>
                            <a:ext cx="121920" cy="262255"/>
                          </a:xfrm>
                          <a:prstGeom prst="rect">
                            <a:avLst/>
                          </a:prstGeom>
                        </pic:spPr>
                      </pic:pic>
                    </a:graphicData>
                  </a:graphic>
                </wp:inline>
              </w:drawing>
            </w:r>
          </w:p>
        </w:tc>
        <w:tc>
          <w:tcPr>
            <w:tcW w:w="6939" w:type="dxa"/>
            <w:tcBorders>
              <w:top w:val="nil"/>
              <w:left w:val="nil"/>
              <w:bottom w:val="nil"/>
              <w:right w:val="nil"/>
            </w:tcBorders>
            <w:vAlign w:val="center"/>
          </w:tcPr>
          <w:p>
            <w:pPr>
              <w:pStyle w:val="Normal"/>
              <w:widowControl/>
              <w:spacing w:lineRule="auto" w:line="240" w:before="0" w:after="0"/>
              <w:jc w:val="left"/>
              <w:rPr>
                <w:rFonts w:ascii="Open Sans" w:hAnsi="Open Sans" w:eastAsia="Times New Roman" w:cs="Open Sans"/>
                <w:sz w:val="20"/>
                <w:szCs w:val="20"/>
                <w:lang w:val="en-GB"/>
              </w:rPr>
            </w:pPr>
            <w:hyperlink r:id="rId17">
              <w:r>
                <w:rPr>
                  <w:rFonts w:eastAsia="Times New Roman" w:cs="Open Sans" w:ascii="Open Sans" w:hAnsi="Open Sans"/>
                  <w:kern w:val="2"/>
                  <w:sz w:val="20"/>
                  <w:szCs w:val="20"/>
                  <w:lang w:val="en-GB" w:eastAsia="en-US" w:bidi="ar-SA"/>
                </w:rPr>
                <w:t>https://www.facebook.com/CROWDFUNDMATCH</w:t>
              </w:r>
            </w:hyperlink>
          </w:p>
          <w:p>
            <w:pPr>
              <w:pStyle w:val="Normal"/>
              <w:widowControl/>
              <w:spacing w:lineRule="auto" w:line="240" w:before="0" w:after="0"/>
              <w:jc w:val="left"/>
              <w:rPr>
                <w:rFonts w:ascii="Open Sans" w:hAnsi="Open Sans" w:cs="Open Sans"/>
                <w:lang w:val="en-GB"/>
              </w:rPr>
            </w:pPr>
            <w:r>
              <w:rPr>
                <w:rFonts w:eastAsia="Calibri" w:cs="Open Sans" w:ascii="Open Sans" w:hAnsi="Open Sans"/>
                <w:kern w:val="2"/>
                <w:sz w:val="22"/>
                <w:szCs w:val="22"/>
                <w:lang w:val="sl-SI" w:eastAsia="en-US" w:bidi="ar-SA"/>
              </w:rPr>
            </w:r>
          </w:p>
        </w:tc>
      </w:tr>
      <w:tr>
        <w:trPr/>
        <w:tc>
          <w:tcPr>
            <w:tcW w:w="2122" w:type="dxa"/>
            <w:tcBorders>
              <w:top w:val="nil"/>
              <w:left w:val="nil"/>
              <w:bottom w:val="nil"/>
              <w:right w:val="nil"/>
            </w:tcBorders>
            <w:vAlign w:val="center"/>
          </w:tcPr>
          <w:p>
            <w:pPr>
              <w:pStyle w:val="Normal"/>
              <w:widowControl/>
              <w:spacing w:lineRule="auto" w:line="240" w:before="0" w:after="0"/>
              <w:jc w:val="center"/>
              <w:rPr>
                <w:rFonts w:ascii="Open Sans" w:hAnsi="Open Sans" w:cs="Open Sans"/>
                <w:lang w:val="en-GB"/>
              </w:rPr>
            </w:pPr>
            <w:r>
              <w:rPr>
                <w:rFonts w:eastAsia="Calibri"/>
                <w:kern w:val="2"/>
                <w:sz w:val="22"/>
                <w:szCs w:val="22"/>
                <w:lang w:val="sl-SI" w:eastAsia="en-US" w:bidi="ar-SA"/>
              </w:rPr>
              <w:drawing>
                <wp:inline distT="0" distB="0" distL="0" distR="0">
                  <wp:extent cx="262255" cy="201295"/>
                  <wp:effectExtent l="0" t="0" r="0" b="0"/>
                  <wp:docPr id="11" name="Slika 15774522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577452226" descr=""/>
                          <pic:cNvPicPr>
                            <a:picLocks noChangeAspect="1" noChangeArrowheads="1"/>
                          </pic:cNvPicPr>
                        </pic:nvPicPr>
                        <pic:blipFill>
                          <a:blip r:embed="rId18"/>
                          <a:stretch>
                            <a:fillRect/>
                          </a:stretch>
                        </pic:blipFill>
                        <pic:spPr bwMode="auto">
                          <a:xfrm>
                            <a:off x="0" y="0"/>
                            <a:ext cx="262255" cy="201295"/>
                          </a:xfrm>
                          <a:prstGeom prst="rect">
                            <a:avLst/>
                          </a:prstGeom>
                        </pic:spPr>
                      </pic:pic>
                    </a:graphicData>
                  </a:graphic>
                </wp:inline>
              </w:drawing>
            </w:r>
          </w:p>
        </w:tc>
        <w:tc>
          <w:tcPr>
            <w:tcW w:w="6939" w:type="dxa"/>
            <w:tcBorders>
              <w:top w:val="nil"/>
              <w:left w:val="nil"/>
              <w:bottom w:val="nil"/>
              <w:right w:val="nil"/>
            </w:tcBorders>
            <w:vAlign w:val="center"/>
          </w:tcPr>
          <w:p>
            <w:pPr>
              <w:pStyle w:val="Normal"/>
              <w:widowControl/>
              <w:spacing w:lineRule="auto" w:line="240" w:before="0" w:after="0"/>
              <w:jc w:val="left"/>
              <w:rPr>
                <w:rFonts w:ascii="Open Sans" w:hAnsi="Open Sans" w:eastAsia="Times New Roman" w:cs="Open Sans"/>
                <w:sz w:val="20"/>
                <w:szCs w:val="20"/>
                <w:lang w:val="en-GB"/>
              </w:rPr>
            </w:pPr>
            <w:hyperlink r:id="rId19">
              <w:r>
                <w:rPr>
                  <w:rFonts w:eastAsia="Times New Roman" w:cs="Open Sans" w:ascii="Open Sans" w:hAnsi="Open Sans"/>
                  <w:kern w:val="2"/>
                  <w:sz w:val="20"/>
                  <w:szCs w:val="20"/>
                  <w:lang w:val="en-GB" w:eastAsia="en-US" w:bidi="ar-SA"/>
                </w:rPr>
                <w:t>https://twitter.com/crowdfundmatch</w:t>
              </w:r>
            </w:hyperlink>
          </w:p>
          <w:p>
            <w:pPr>
              <w:pStyle w:val="Normal"/>
              <w:widowControl/>
              <w:spacing w:lineRule="auto" w:line="240" w:before="0" w:after="0"/>
              <w:jc w:val="left"/>
              <w:rPr>
                <w:rFonts w:ascii="Open Sans" w:hAnsi="Open Sans" w:cs="Open Sans"/>
                <w:lang w:val="en-GB"/>
              </w:rPr>
            </w:pPr>
            <w:r>
              <w:rPr>
                <w:rFonts w:eastAsia="Calibri" w:cs="Open Sans" w:ascii="Open Sans" w:hAnsi="Open Sans"/>
                <w:kern w:val="2"/>
                <w:sz w:val="22"/>
                <w:szCs w:val="22"/>
                <w:lang w:val="sl-SI" w:eastAsia="en-US" w:bidi="ar-SA"/>
              </w:rPr>
            </w:r>
          </w:p>
        </w:tc>
      </w:tr>
    </w:tbl>
    <w:p>
      <w:pPr>
        <w:pStyle w:val="Normal"/>
        <w:spacing w:before="0" w:after="160"/>
        <w:rPr>
          <w:rFonts w:ascii="Open Sans" w:hAnsi="Open Sans" w:cs="Open Sans"/>
          <w:lang w:val="el-GR"/>
        </w:rPr>
      </w:pPr>
      <w:r>
        <w:rPr/>
      </w:r>
    </w:p>
    <w:sectPr>
      <w:headerReference w:type="even" r:id="rId20"/>
      <w:headerReference w:type="default" r:id="rId21"/>
      <w:headerReference w:type="first" r:id="rId22"/>
      <w:footerReference w:type="default" r:id="rId23"/>
      <w:type w:val="nextPage"/>
      <w:pgSz w:w="11906" w:h="16838"/>
      <w:pgMar w:left="1416" w:right="1416" w:gutter="0" w:header="708" w:top="1417" w:footer="708" w:bottom="1417"/>
      <w:pgBorders w:display="allPages" w:offsetFrom="page">
        <w:top w:val="single" w:sz="4" w:space="24" w:color="00A984"/>
        <w:left w:val="single" w:sz="4" w:space="24" w:color="00A984"/>
        <w:bottom w:val="single" w:sz="4" w:space="24" w:color="00A984"/>
        <w:right w:val="single" w:sz="4" w:space="24" w:color="00A984"/>
      </w:pgBorders>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a1"/>
    <w:family w:val="roman"/>
    <w:pitch w:val="variable"/>
  </w:font>
  <w:font w:name="Calibri">
    <w:charset w:val="a1"/>
    <w:family w:val="roman"/>
    <w:pitch w:val="variable"/>
  </w:font>
  <w:font w:name="Open Sans">
    <w:charset w:val="a1"/>
    <w:family w:val="roman"/>
    <w:pitch w:val="variable"/>
  </w:font>
  <w:font w:name="Liberation Sans">
    <w:altName w:val="Arial"/>
    <w:charset w:val="a1"/>
    <w:family w:val="swiss"/>
    <w:pitch w:val="variable"/>
  </w:font>
  <w:font w:name="Segoe UI Emoji">
    <w:charset w:val="a1"/>
    <w:family w:val="roman"/>
    <w:pitch w:val="variable"/>
  </w:font>
  <w:font w:name="Wingdings">
    <w:charset w:val="02"/>
    <w:family w:val="auto"/>
    <w:pitch w:val="variable"/>
  </w:font>
  <w:font w:name="Courier New">
    <w:charset w:val="01"/>
    <w:family w:val="modern"/>
    <w:pitch w:val="fixed"/>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23"/>
      <w:rPr/>
    </w:pPr>
    <w:r>
      <w:rPr/>
    </w:r>
  </w:p>
  <w:p>
    <w:pPr>
      <w:pStyle w:val="Style23"/>
      <w:rPr/>
    </w:pPr>
    <w:r>
      <w:rPr/>
    </w:r>
  </w:p>
  <w:p>
    <w:pPr>
      <w:pStyle w:val="Style23"/>
      <w:jc w:val="center"/>
      <w:rPr>
        <w:rFonts w:ascii="Open Sans" w:hAnsi="Open Sans" w:cs="Open Sans"/>
        <w:b/>
        <w:b/>
        <w:bCs/>
        <w:color w:val="00A984"/>
        <w:sz w:val="18"/>
        <w:szCs w:val="18"/>
        <w:lang w:val="el-GR"/>
      </w:rPr>
    </w:pPr>
    <w:r>
      <w:rPr>
        <w:rFonts w:cs="Open Sans" w:ascii="Open Sans" w:hAnsi="Open Sans"/>
        <w:b/>
        <w:bCs/>
        <w:color w:val="00A984"/>
        <w:sz w:val="18"/>
        <w:szCs w:val="18"/>
        <w:lang w:val="el-GR"/>
      </w:rPr>
      <w:t>ΗΛΕΚΤΡΟΝΙΚΟ ΕΝΗΜΕΡΩΤΙΚΟ ΔΕΛΤΙΟ</w:t>
    </w:r>
    <w:r>
      <w:rPr>
        <w:rFonts w:cs="Open Sans" w:ascii="Open Sans" w:hAnsi="Open Sans"/>
        <w:b/>
        <w:bCs/>
        <w:color w:val="00A984"/>
        <w:sz w:val="18"/>
        <w:szCs w:val="18"/>
      </w:rPr>
      <w:t xml:space="preserve"> </w:t>
    </w:r>
    <w:r>
      <w:rPr>
        <w:rFonts w:cs="Open Sans" w:ascii="Open Sans" w:hAnsi="Open Sans"/>
        <w:b/>
        <w:bCs/>
        <w:color w:val="00A984"/>
        <w:sz w:val="18"/>
        <w:szCs w:val="18"/>
        <w:lang w:val="el-GR"/>
      </w:rPr>
      <w:t>2</w:t>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22"/>
      <w:rPr/>
    </w:pPr>
    <w:r>
      <w:rPr/>
      <mc:AlternateContent>
        <mc:Choice Requires="wps">
          <w:drawing>
            <wp:anchor behindDoc="1" distT="0" distB="0" distL="0" distR="0" simplePos="0" locked="0" layoutInCell="0" allowOverlap="1" relativeHeight="8">
              <wp:simplePos x="0" y="0"/>
              <wp:positionH relativeFrom="margin">
                <wp:align>center</wp:align>
              </wp:positionH>
              <wp:positionV relativeFrom="margin">
                <wp:align>center</wp:align>
              </wp:positionV>
              <wp:extent cx="13459460" cy="8982710"/>
              <wp:effectExtent l="0" t="0" r="0" b="0"/>
              <wp:wrapNone/>
              <wp:docPr id="12" name="WordPictureWatermark526462235"/>
              <a:graphic xmlns:a="http://schemas.openxmlformats.org/drawingml/2006/main">
                <a:graphicData uri="http://schemas.openxmlformats.org/drawingml/2006/picture">
                  <pic:pic xmlns:pic="http://schemas.openxmlformats.org/drawingml/2006/picture">
                    <pic:nvPicPr>
                      <pic:cNvPr id="1" name="WordPictureWatermark526462235" descr=""/>
                      <pic:cNvPicPr/>
                    </pic:nvPicPr>
                    <pic:blipFill>
                      <a:blip r:embed="rId1">
                        <a:lum bright="70000" contrast="-70000"/>
                      </a:blip>
                      <a:stretch/>
                    </pic:blipFill>
                    <pic:spPr>
                      <a:xfrm>
                        <a:off x="0" y="0"/>
                        <a:ext cx="13459320" cy="8982720"/>
                      </a:xfrm>
                      <a:prstGeom prst="rect">
                        <a:avLst/>
                      </a:prstGeom>
                      <a:ln w="0">
                        <a:noFill/>
                      </a:ln>
                    </pic:spPr>
                  </pic:pic>
                </a:graphicData>
              </a:graphic>
            </wp:anchor>
          </w:drawing>
        </mc:Choice>
        <mc:Fallback>
          <w:pict>
            <v:shape id="WordPictureWatermark526462235" o:spid="shape_0" stroked="f" o:allowincell="f" style="position:absolute;margin-left:0.05pt;margin-top:0pt;width:1059.75pt;height:707.25pt;mso-wrap-style:none;v-text-anchor:middle;mso-position-horizontal:center;mso-position-horizontal-relative:margin;mso-position-vertical:center;mso-position-vertical-relative:margin" type="_x0000_t75">
              <v:imagedata r:id="rId2" o:detectmouseclick="t"/>
              <v:stroke color="#3465a4" joinstyle="round" endcap="flat"/>
              <w10:wrap type="none"/>
            </v:shape>
          </w:pict>
        </mc:Fallback>
      </mc:AlternateContent>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22"/>
      <w:tabs>
        <w:tab w:val="left" w:pos="293" w:leader="none"/>
        <w:tab w:val="left" w:pos="726" w:leader="none"/>
        <w:tab w:val="center" w:pos="4536" w:leader="none"/>
        <w:tab w:val="right" w:pos="9072" w:leader="none"/>
      </w:tabs>
      <w:jc w:val="right"/>
      <w:rPr/>
    </w:pPr>
    <w:r>
      <mc:AlternateContent>
        <mc:Choice Requires="wps">
          <w:drawing>
            <wp:anchor behindDoc="1" distT="0" distB="0" distL="0" distR="0" simplePos="0" locked="0" layoutInCell="0" allowOverlap="1" relativeHeight="16">
              <wp:simplePos x="0" y="0"/>
              <wp:positionH relativeFrom="margin">
                <wp:posOffset>-3849370</wp:posOffset>
              </wp:positionH>
              <wp:positionV relativeFrom="margin">
                <wp:posOffset>-313055</wp:posOffset>
              </wp:positionV>
              <wp:extent cx="13459460" cy="8982710"/>
              <wp:effectExtent l="0" t="0" r="0" b="0"/>
              <wp:wrapNone/>
              <wp:docPr id="13" name="WordPictureWatermark526462236"/>
              <a:graphic xmlns:a="http://schemas.openxmlformats.org/drawingml/2006/main">
                <a:graphicData uri="http://schemas.openxmlformats.org/drawingml/2006/picture">
                  <pic:pic xmlns:pic="http://schemas.openxmlformats.org/drawingml/2006/picture">
                    <pic:nvPicPr>
                      <pic:cNvPr id="2" name="WordPictureWatermark526462236" descr=""/>
                      <pic:cNvPicPr/>
                    </pic:nvPicPr>
                    <pic:blipFill>
                      <a:blip r:embed="rId1">
                        <a:lum bright="70000" contrast="-70000"/>
                      </a:blip>
                      <a:stretch/>
                    </pic:blipFill>
                    <pic:spPr>
                      <a:xfrm>
                        <a:off x="0" y="0"/>
                        <a:ext cx="13459320" cy="8982720"/>
                      </a:xfrm>
                      <a:prstGeom prst="rect">
                        <a:avLst/>
                      </a:prstGeom>
                      <a:ln w="0">
                        <a:noFill/>
                      </a:ln>
                    </pic:spPr>
                  </pic:pic>
                </a:graphicData>
              </a:graphic>
            </wp:anchor>
          </w:drawing>
        </mc:Choice>
        <mc:Fallback>
          <w:pict>
            <v:shape id="WordPictureWatermark526462236" o:spid="shape_0" stroked="f" o:allowincell="f" style="position:absolute;margin-left:-303.1pt;margin-top:-24.65pt;width:1059.75pt;height:707.25pt;mso-wrap-style:none;v-text-anchor:middle;mso-position-horizontal-relative:margin;mso-position-vertical-relative:margin" type="_x0000_t75">
              <v:imagedata r:id="rId2" o:detectmouseclick="t"/>
              <v:stroke color="#3465a4" joinstyle="round" endcap="flat"/>
              <w10:wrap type="none"/>
            </v:shape>
          </w:pict>
        </mc:Fallback>
      </mc:AlternateContent>
    </w:r>
    <w:r>
      <w:rPr/>
      <w:tab/>
      <w:tab/>
      <w:t xml:space="preserve">                                                                                </w:t>
    </w:r>
    <w:r>
      <w:rPr/>
      <w:drawing>
        <wp:inline distT="0" distB="0" distL="0" distR="0">
          <wp:extent cx="2063750" cy="740410"/>
          <wp:effectExtent l="0" t="0" r="0" b="0"/>
          <wp:docPr id="14" name="Slika 4" descr="Slika, ki vsebuje besede besedilo, pisava, posnetek zaslona, logotip&#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ka 4" descr="Slika, ki vsebuje besede besedilo, pisava, posnetek zaslona, logotip&#10;&#10;Opis je samodejno ustvarjen"/>
                  <pic:cNvPicPr>
                    <a:picLocks noChangeAspect="1" noChangeArrowheads="1"/>
                  </pic:cNvPicPr>
                </pic:nvPicPr>
                <pic:blipFill>
                  <a:blip r:embed="rId3"/>
                  <a:stretch>
                    <a:fillRect/>
                  </a:stretch>
                </pic:blipFill>
                <pic:spPr bwMode="auto">
                  <a:xfrm>
                    <a:off x="0" y="0"/>
                    <a:ext cx="2063750" cy="740410"/>
                  </a:xfrm>
                  <a:prstGeom prst="rect">
                    <a:avLst/>
                  </a:prstGeom>
                </pic:spPr>
              </pic:pic>
            </a:graphicData>
          </a:graphic>
        </wp:inline>
      </w:drawing>
    </w:r>
    <w:r>
      <w:rPr/>
      <w:t xml:space="preserve">                                    </w:t>
      <w:tab/>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22"/>
      <w:tabs>
        <w:tab w:val="left" w:pos="293" w:leader="none"/>
        <w:tab w:val="left" w:pos="726" w:leader="none"/>
        <w:tab w:val="center" w:pos="4536" w:leader="none"/>
        <w:tab w:val="right" w:pos="9072" w:leader="none"/>
      </w:tabs>
      <w:jc w:val="right"/>
      <w:rPr/>
    </w:pPr>
    <w:r>
      <mc:AlternateContent>
        <mc:Choice Requires="wps">
          <w:drawing>
            <wp:anchor behindDoc="1" distT="0" distB="0" distL="0" distR="0" simplePos="0" locked="0" layoutInCell="0" allowOverlap="1" relativeHeight="16">
              <wp:simplePos x="0" y="0"/>
              <wp:positionH relativeFrom="margin">
                <wp:posOffset>-3849370</wp:posOffset>
              </wp:positionH>
              <wp:positionV relativeFrom="margin">
                <wp:posOffset>-313055</wp:posOffset>
              </wp:positionV>
              <wp:extent cx="13459460" cy="8982710"/>
              <wp:effectExtent l="0" t="0" r="0" b="0"/>
              <wp:wrapNone/>
              <wp:docPr id="15" name="WordPictureWatermark526462236"/>
              <a:graphic xmlns:a="http://schemas.openxmlformats.org/drawingml/2006/main">
                <a:graphicData uri="http://schemas.openxmlformats.org/drawingml/2006/picture">
                  <pic:pic xmlns:pic="http://schemas.openxmlformats.org/drawingml/2006/picture">
                    <pic:nvPicPr>
                      <pic:cNvPr id="3" name="WordPictureWatermark526462236" descr=""/>
                      <pic:cNvPicPr/>
                    </pic:nvPicPr>
                    <pic:blipFill>
                      <a:blip r:embed="rId1">
                        <a:lum bright="70000" contrast="-70000"/>
                      </a:blip>
                      <a:stretch/>
                    </pic:blipFill>
                    <pic:spPr>
                      <a:xfrm>
                        <a:off x="0" y="0"/>
                        <a:ext cx="13459320" cy="8982720"/>
                      </a:xfrm>
                      <a:prstGeom prst="rect">
                        <a:avLst/>
                      </a:prstGeom>
                      <a:ln w="0">
                        <a:noFill/>
                      </a:ln>
                    </pic:spPr>
                  </pic:pic>
                </a:graphicData>
              </a:graphic>
            </wp:anchor>
          </w:drawing>
        </mc:Choice>
        <mc:Fallback>
          <w:pict>
            <v:shape id="WordPictureWatermark526462236" o:spid="shape_0" stroked="f" o:allowincell="f" style="position:absolute;margin-left:-303.1pt;margin-top:-24.65pt;width:1059.75pt;height:707.25pt;mso-wrap-style:none;v-text-anchor:middle;mso-position-horizontal-relative:margin;mso-position-vertical-relative:margin" type="_x0000_t75">
              <v:imagedata r:id="rId2" o:detectmouseclick="t"/>
              <v:stroke color="#3465a4" joinstyle="round" endcap="flat"/>
              <w10:wrap type="none"/>
            </v:shape>
          </w:pict>
        </mc:Fallback>
      </mc:AlternateContent>
    </w:r>
    <w:r>
      <w:rPr/>
      <w:tab/>
      <w:tab/>
      <w:t xml:space="preserve">                                                                                </w:t>
    </w:r>
    <w:r>
      <w:rPr/>
      <w:drawing>
        <wp:inline distT="0" distB="0" distL="0" distR="0">
          <wp:extent cx="2063750" cy="740410"/>
          <wp:effectExtent l="0" t="0" r="0" b="0"/>
          <wp:docPr id="16" name="Slika 4" descr="Slika, ki vsebuje besede besedilo, pisava, posnetek zaslona, logotip&#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lika 4" descr="Slika, ki vsebuje besede besedilo, pisava, posnetek zaslona, logotip&#10;&#10;Opis je samodejno ustvarjen"/>
                  <pic:cNvPicPr>
                    <a:picLocks noChangeAspect="1" noChangeArrowheads="1"/>
                  </pic:cNvPicPr>
                </pic:nvPicPr>
                <pic:blipFill>
                  <a:blip r:embed="rId3"/>
                  <a:stretch>
                    <a:fillRect/>
                  </a:stretch>
                </pic:blipFill>
                <pic:spPr bwMode="auto">
                  <a:xfrm>
                    <a:off x="0" y="0"/>
                    <a:ext cx="2063750" cy="740410"/>
                  </a:xfrm>
                  <a:prstGeom prst="rect">
                    <a:avLst/>
                  </a:prstGeom>
                </pic:spPr>
              </pic:pic>
            </a:graphicData>
          </a:graphic>
        </wp:inline>
      </w:drawing>
    </w:r>
    <w:r>
      <w:rPr/>
      <w:t xml:space="preserve">                                    </w:t>
      <w:tab/>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0"/>
        </w:tabs>
        <w:ind w:left="720" w:hanging="360"/>
      </w:pPr>
      <w:rPr>
        <w:rFonts w:ascii="Wingdings" w:hAnsi="Wingdings" w:cs="Wingdings" w:hint="default"/>
        <w:color w:val="7E93A5"/>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lvl w:ilvl="0">
      <w:start w:val="1"/>
      <w:numFmt w:val="decimal"/>
      <w:lvlText w:val="%1"/>
      <w:lvlJc w:val="left"/>
      <w:pPr>
        <w:tabs>
          <w:tab w:val="num" w:pos="0"/>
        </w:tabs>
        <w:ind w:left="360" w:hanging="360"/>
      </w:pPr>
      <w:rPr/>
    </w:lvl>
    <w:lvl w:ilvl="1">
      <w:start w:val="1"/>
      <w:numFmt w:val="decimal"/>
      <w:lvlText w:val="%1.%2"/>
      <w:lvlJc w:val="left"/>
      <w:pPr>
        <w:tabs>
          <w:tab w:val="num" w:pos="0"/>
        </w:tabs>
        <w:ind w:left="360" w:hanging="360"/>
      </w:pPr>
      <w:rPr/>
    </w:lvl>
    <w:lvl w:ilvl="2">
      <w:start w:val="1"/>
      <w:numFmt w:val="decimal"/>
      <w:lvlText w:val="%1.%2.%3"/>
      <w:lvlJc w:val="left"/>
      <w:pPr>
        <w:tabs>
          <w:tab w:val="num" w:pos="0"/>
        </w:tabs>
        <w:ind w:left="720" w:hanging="720"/>
      </w:pPr>
      <w:rPr/>
    </w:lvl>
    <w:lvl w:ilvl="3">
      <w:start w:val="1"/>
      <w:numFmt w:val="decimal"/>
      <w:lvlText w:val="%1.%2.%3.%4"/>
      <w:lvlJc w:val="left"/>
      <w:pPr>
        <w:tabs>
          <w:tab w:val="num" w:pos="0"/>
        </w:tabs>
        <w:ind w:left="1080" w:hanging="1080"/>
      </w:pPr>
      <w:rPr/>
    </w:lvl>
    <w:lvl w:ilvl="4">
      <w:start w:val="1"/>
      <w:numFmt w:val="decimal"/>
      <w:lvlText w:val="%1.%2.%3.%4.%5"/>
      <w:lvlJc w:val="left"/>
      <w:pPr>
        <w:tabs>
          <w:tab w:val="num" w:pos="0"/>
        </w:tabs>
        <w:ind w:left="1080" w:hanging="1080"/>
      </w:pPr>
      <w:rPr/>
    </w:lvl>
    <w:lvl w:ilvl="5">
      <w:start w:val="1"/>
      <w:numFmt w:val="decimal"/>
      <w:lvlText w:val="%1.%2.%3.%4.%5.%6"/>
      <w:lvlJc w:val="left"/>
      <w:pPr>
        <w:tabs>
          <w:tab w:val="num" w:pos="0"/>
        </w:tabs>
        <w:ind w:left="1440" w:hanging="1440"/>
      </w:pPr>
      <w:rPr/>
    </w:lvl>
    <w:lvl w:ilvl="6">
      <w:start w:val="1"/>
      <w:numFmt w:val="decimal"/>
      <w:lvlText w:val="%1.%2.%3.%4.%5.%6.%7"/>
      <w:lvlJc w:val="left"/>
      <w:pPr>
        <w:tabs>
          <w:tab w:val="num" w:pos="0"/>
        </w:tabs>
        <w:ind w:left="1440" w:hanging="1440"/>
      </w:pPr>
      <w:rPr/>
    </w:lvl>
    <w:lvl w:ilvl="7">
      <w:start w:val="1"/>
      <w:numFmt w:val="decimal"/>
      <w:lvlText w:val="%1.%2.%3.%4.%5.%6.%7.%8"/>
      <w:lvlJc w:val="left"/>
      <w:pPr>
        <w:tabs>
          <w:tab w:val="num" w:pos="0"/>
        </w:tabs>
        <w:ind w:left="1800" w:hanging="1800"/>
      </w:pPr>
      <w:rPr/>
    </w:lvl>
    <w:lvl w:ilvl="8">
      <w:start w:val="1"/>
      <w:numFmt w:val="decimal"/>
      <w:lvlText w:val="%1.%2.%3.%4.%5.%6.%7.%8.%9"/>
      <w:lvlJc w:val="left"/>
      <w:pPr>
        <w:tabs>
          <w:tab w:val="num" w:pos="0"/>
        </w:tabs>
        <w:ind w:left="1800" w:hanging="1800"/>
      </w:pPr>
      <w:rPr/>
    </w:lvl>
  </w:abstractNum>
  <w:abstractNum w:abstractNumId="3">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
      <w:lvlJc w:val="left"/>
      <w:pPr>
        <w:tabs>
          <w:tab w:val="num" w:pos="1440"/>
        </w:tabs>
        <w:ind w:left="1440" w:hanging="360"/>
      </w:pPr>
      <w:rPr>
        <w:rFonts w:ascii="Symbol" w:hAnsi="Symbol" w:cs="Symbol" w:hint="default"/>
        <w:sz w:val="20"/>
      </w:rPr>
    </w:lvl>
    <w:lvl w:ilvl="2">
      <w:start w:val="1"/>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Symbol" w:hAnsi="Symbol" w:cs="Symbol" w:hint="default"/>
        <w:sz w:val="20"/>
      </w:rPr>
    </w:lvl>
    <w:lvl w:ilvl="4">
      <w:start w:val="1"/>
      <w:numFmt w:val="bullet"/>
      <w:lvlText w:val=""/>
      <w:lvlJc w:val="left"/>
      <w:pPr>
        <w:tabs>
          <w:tab w:val="num" w:pos="3600"/>
        </w:tabs>
        <w:ind w:left="3600" w:hanging="360"/>
      </w:pPr>
      <w:rPr>
        <w:rFonts w:ascii="Symbol" w:hAnsi="Symbol" w:cs="Symbol" w:hint="default"/>
        <w:sz w:val="20"/>
      </w:rPr>
    </w:lvl>
    <w:lvl w:ilvl="5">
      <w:start w:val="1"/>
      <w:numFmt w:val="bullet"/>
      <w:lvlText w:val=""/>
      <w:lvlJc w:val="left"/>
      <w:pPr>
        <w:tabs>
          <w:tab w:val="num" w:pos="4320"/>
        </w:tabs>
        <w:ind w:left="4320" w:hanging="360"/>
      </w:pPr>
      <w:rPr>
        <w:rFonts w:ascii="Symbol" w:hAnsi="Symbol" w:cs="Symbol" w:hint="default"/>
        <w:sz w:val="20"/>
      </w:rPr>
    </w:lvl>
    <w:lvl w:ilvl="6">
      <w:start w:val="1"/>
      <w:numFmt w:val="bullet"/>
      <w:lvlText w:val=""/>
      <w:lvlJc w:val="left"/>
      <w:pPr>
        <w:tabs>
          <w:tab w:val="num" w:pos="5040"/>
        </w:tabs>
        <w:ind w:left="5040" w:hanging="360"/>
      </w:pPr>
      <w:rPr>
        <w:rFonts w:ascii="Symbol" w:hAnsi="Symbol" w:cs="Symbol" w:hint="default"/>
        <w:sz w:val="20"/>
      </w:rPr>
    </w:lvl>
    <w:lvl w:ilvl="7">
      <w:start w:val="1"/>
      <w:numFmt w:val="bullet"/>
      <w:lvlText w:val=""/>
      <w:lvlJc w:val="left"/>
      <w:pPr>
        <w:tabs>
          <w:tab w:val="num" w:pos="5760"/>
        </w:tabs>
        <w:ind w:left="5760" w:hanging="360"/>
      </w:pPr>
      <w:rPr>
        <w:rFonts w:ascii="Symbol" w:hAnsi="Symbol" w:cs="Symbol" w:hint="default"/>
        <w:sz w:val="20"/>
      </w:rPr>
    </w:lvl>
    <w:lvl w:ilvl="8">
      <w:start w:val="1"/>
      <w:numFmt w:val="bullet"/>
      <w:lvlText w:val=""/>
      <w:lvlJc w:val="left"/>
      <w:pPr>
        <w:tabs>
          <w:tab w:val="num" w:pos="6480"/>
        </w:tabs>
        <w:ind w:left="6480" w:hanging="360"/>
      </w:pPr>
      <w:rPr>
        <w:rFonts w:ascii="Symbol" w:hAnsi="Symbol" w:cs="Symbol" w:hint="default"/>
        <w:sz w:val="20"/>
      </w:rPr>
    </w:lvl>
  </w:abstractNum>
  <w:abstractNum w:abstractNumId="4">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
      <w:lvlJc w:val="left"/>
      <w:pPr>
        <w:tabs>
          <w:tab w:val="num" w:pos="1440"/>
        </w:tabs>
        <w:ind w:left="1440" w:hanging="360"/>
      </w:pPr>
      <w:rPr>
        <w:rFonts w:ascii="Symbol" w:hAnsi="Symbol" w:cs="Symbol" w:hint="default"/>
        <w:sz w:val="20"/>
      </w:rPr>
    </w:lvl>
    <w:lvl w:ilvl="2">
      <w:start w:val="1"/>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Symbol" w:hAnsi="Symbol" w:cs="Symbol" w:hint="default"/>
        <w:sz w:val="20"/>
      </w:rPr>
    </w:lvl>
    <w:lvl w:ilvl="4">
      <w:start w:val="1"/>
      <w:numFmt w:val="bullet"/>
      <w:lvlText w:val=""/>
      <w:lvlJc w:val="left"/>
      <w:pPr>
        <w:tabs>
          <w:tab w:val="num" w:pos="3600"/>
        </w:tabs>
        <w:ind w:left="3600" w:hanging="360"/>
      </w:pPr>
      <w:rPr>
        <w:rFonts w:ascii="Symbol" w:hAnsi="Symbol" w:cs="Symbol" w:hint="default"/>
        <w:sz w:val="20"/>
      </w:rPr>
    </w:lvl>
    <w:lvl w:ilvl="5">
      <w:start w:val="1"/>
      <w:numFmt w:val="bullet"/>
      <w:lvlText w:val=""/>
      <w:lvlJc w:val="left"/>
      <w:pPr>
        <w:tabs>
          <w:tab w:val="num" w:pos="4320"/>
        </w:tabs>
        <w:ind w:left="4320" w:hanging="360"/>
      </w:pPr>
      <w:rPr>
        <w:rFonts w:ascii="Symbol" w:hAnsi="Symbol" w:cs="Symbol" w:hint="default"/>
        <w:sz w:val="20"/>
      </w:rPr>
    </w:lvl>
    <w:lvl w:ilvl="6">
      <w:start w:val="1"/>
      <w:numFmt w:val="bullet"/>
      <w:lvlText w:val=""/>
      <w:lvlJc w:val="left"/>
      <w:pPr>
        <w:tabs>
          <w:tab w:val="num" w:pos="5040"/>
        </w:tabs>
        <w:ind w:left="5040" w:hanging="360"/>
      </w:pPr>
      <w:rPr>
        <w:rFonts w:ascii="Symbol" w:hAnsi="Symbol" w:cs="Symbol" w:hint="default"/>
        <w:sz w:val="20"/>
      </w:rPr>
    </w:lvl>
    <w:lvl w:ilvl="7">
      <w:start w:val="1"/>
      <w:numFmt w:val="bullet"/>
      <w:lvlText w:val=""/>
      <w:lvlJc w:val="left"/>
      <w:pPr>
        <w:tabs>
          <w:tab w:val="num" w:pos="5760"/>
        </w:tabs>
        <w:ind w:left="5760" w:hanging="360"/>
      </w:pPr>
      <w:rPr>
        <w:rFonts w:ascii="Symbol" w:hAnsi="Symbol" w:cs="Symbol" w:hint="default"/>
        <w:sz w:val="20"/>
      </w:rPr>
    </w:lvl>
    <w:lvl w:ilvl="8">
      <w:start w:val="1"/>
      <w:numFmt w:val="bullet"/>
      <w:lvlText w:val=""/>
      <w:lvlJc w:val="left"/>
      <w:pPr>
        <w:tabs>
          <w:tab w:val="num" w:pos="6480"/>
        </w:tabs>
        <w:ind w:left="6480" w:hanging="360"/>
      </w:pPr>
      <w:rPr>
        <w:rFonts w:ascii="Symbol" w:hAnsi="Symbol" w:cs="Symbol" w:hint="default"/>
        <w:sz w:val="20"/>
      </w:rPr>
    </w:lvl>
  </w:abstractNum>
  <w:abstractNum w:abstractNumId="5">
    <w:lvl w:ilvl="0">
      <w:start w:val="1"/>
      <w:numFmt w:val="decimal"/>
      <w:lvlText w:val="%1."/>
      <w:lvlJc w:val="left"/>
      <w:pPr>
        <w:tabs>
          <w:tab w:val="num" w:pos="720"/>
        </w:tabs>
        <w:ind w:left="720" w:hanging="360"/>
      </w:pPr>
      <w:rPr>
        <w:b/>
        <w:bCs/>
      </w:rPr>
    </w:lvl>
    <w:lvl w:ilvl="1">
      <w:start w:val="1"/>
      <w:numFmt w:val="decimal"/>
      <w:lvlText w:val="%2."/>
      <w:lvlJc w:val="left"/>
      <w:pPr>
        <w:tabs>
          <w:tab w:val="num" w:pos="1440"/>
        </w:tabs>
        <w:ind w:left="144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6">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
      <w:lvlJc w:val="left"/>
      <w:pPr>
        <w:tabs>
          <w:tab w:val="num" w:pos="1440"/>
        </w:tabs>
        <w:ind w:left="1440" w:hanging="360"/>
      </w:pPr>
      <w:rPr>
        <w:rFonts w:ascii="Symbol" w:hAnsi="Symbol" w:cs="Symbol" w:hint="default"/>
        <w:sz w:val="20"/>
      </w:rPr>
    </w:lvl>
    <w:lvl w:ilvl="2">
      <w:start w:val="1"/>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Symbol" w:hAnsi="Symbol" w:cs="Symbol" w:hint="default"/>
        <w:sz w:val="20"/>
      </w:rPr>
    </w:lvl>
    <w:lvl w:ilvl="4">
      <w:start w:val="1"/>
      <w:numFmt w:val="bullet"/>
      <w:lvlText w:val=""/>
      <w:lvlJc w:val="left"/>
      <w:pPr>
        <w:tabs>
          <w:tab w:val="num" w:pos="3600"/>
        </w:tabs>
        <w:ind w:left="3600" w:hanging="360"/>
      </w:pPr>
      <w:rPr>
        <w:rFonts w:ascii="Symbol" w:hAnsi="Symbol" w:cs="Symbol" w:hint="default"/>
        <w:sz w:val="20"/>
      </w:rPr>
    </w:lvl>
    <w:lvl w:ilvl="5">
      <w:start w:val="1"/>
      <w:numFmt w:val="bullet"/>
      <w:lvlText w:val=""/>
      <w:lvlJc w:val="left"/>
      <w:pPr>
        <w:tabs>
          <w:tab w:val="num" w:pos="4320"/>
        </w:tabs>
        <w:ind w:left="4320" w:hanging="360"/>
      </w:pPr>
      <w:rPr>
        <w:rFonts w:ascii="Symbol" w:hAnsi="Symbol" w:cs="Symbol" w:hint="default"/>
        <w:sz w:val="20"/>
      </w:rPr>
    </w:lvl>
    <w:lvl w:ilvl="6">
      <w:start w:val="1"/>
      <w:numFmt w:val="bullet"/>
      <w:lvlText w:val=""/>
      <w:lvlJc w:val="left"/>
      <w:pPr>
        <w:tabs>
          <w:tab w:val="num" w:pos="5040"/>
        </w:tabs>
        <w:ind w:left="5040" w:hanging="360"/>
      </w:pPr>
      <w:rPr>
        <w:rFonts w:ascii="Symbol" w:hAnsi="Symbol" w:cs="Symbol" w:hint="default"/>
        <w:sz w:val="20"/>
      </w:rPr>
    </w:lvl>
    <w:lvl w:ilvl="7">
      <w:start w:val="1"/>
      <w:numFmt w:val="bullet"/>
      <w:lvlText w:val=""/>
      <w:lvlJc w:val="left"/>
      <w:pPr>
        <w:tabs>
          <w:tab w:val="num" w:pos="5760"/>
        </w:tabs>
        <w:ind w:left="5760" w:hanging="360"/>
      </w:pPr>
      <w:rPr>
        <w:rFonts w:ascii="Symbol" w:hAnsi="Symbol" w:cs="Symbol" w:hint="default"/>
        <w:sz w:val="20"/>
      </w:rPr>
    </w:lvl>
    <w:lvl w:ilvl="8">
      <w:start w:val="1"/>
      <w:numFmt w:val="bullet"/>
      <w:lvlText w:val=""/>
      <w:lvlJc w:val="left"/>
      <w:pPr>
        <w:tabs>
          <w:tab w:val="num" w:pos="6480"/>
        </w:tabs>
        <w:ind w:left="6480" w:hanging="360"/>
      </w:pPr>
      <w:rPr>
        <w:rFonts w:ascii="Symbol" w:hAnsi="Symbol" w:cs="Symbol" w:hint="default"/>
        <w:sz w:val="20"/>
      </w:rPr>
    </w:lvl>
  </w:abstractNum>
  <w:abstractNum w:abstractNumId="7">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
      <w:lvlJc w:val="left"/>
      <w:pPr>
        <w:tabs>
          <w:tab w:val="num" w:pos="1440"/>
        </w:tabs>
        <w:ind w:left="1440" w:hanging="360"/>
      </w:pPr>
      <w:rPr>
        <w:rFonts w:ascii="Symbol" w:hAnsi="Symbol" w:cs="Symbol" w:hint="default"/>
        <w:sz w:val="20"/>
      </w:rPr>
    </w:lvl>
    <w:lvl w:ilvl="2">
      <w:start w:val="1"/>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Symbol" w:hAnsi="Symbol" w:cs="Symbol" w:hint="default"/>
        <w:sz w:val="20"/>
      </w:rPr>
    </w:lvl>
    <w:lvl w:ilvl="4">
      <w:start w:val="1"/>
      <w:numFmt w:val="bullet"/>
      <w:lvlText w:val=""/>
      <w:lvlJc w:val="left"/>
      <w:pPr>
        <w:tabs>
          <w:tab w:val="num" w:pos="3600"/>
        </w:tabs>
        <w:ind w:left="3600" w:hanging="360"/>
      </w:pPr>
      <w:rPr>
        <w:rFonts w:ascii="Symbol" w:hAnsi="Symbol" w:cs="Symbol" w:hint="default"/>
        <w:sz w:val="20"/>
      </w:rPr>
    </w:lvl>
    <w:lvl w:ilvl="5">
      <w:start w:val="1"/>
      <w:numFmt w:val="bullet"/>
      <w:lvlText w:val=""/>
      <w:lvlJc w:val="left"/>
      <w:pPr>
        <w:tabs>
          <w:tab w:val="num" w:pos="4320"/>
        </w:tabs>
        <w:ind w:left="4320" w:hanging="360"/>
      </w:pPr>
      <w:rPr>
        <w:rFonts w:ascii="Symbol" w:hAnsi="Symbol" w:cs="Symbol" w:hint="default"/>
        <w:sz w:val="20"/>
      </w:rPr>
    </w:lvl>
    <w:lvl w:ilvl="6">
      <w:start w:val="1"/>
      <w:numFmt w:val="bullet"/>
      <w:lvlText w:val=""/>
      <w:lvlJc w:val="left"/>
      <w:pPr>
        <w:tabs>
          <w:tab w:val="num" w:pos="5040"/>
        </w:tabs>
        <w:ind w:left="5040" w:hanging="360"/>
      </w:pPr>
      <w:rPr>
        <w:rFonts w:ascii="Symbol" w:hAnsi="Symbol" w:cs="Symbol" w:hint="default"/>
        <w:sz w:val="20"/>
      </w:rPr>
    </w:lvl>
    <w:lvl w:ilvl="7">
      <w:start w:val="1"/>
      <w:numFmt w:val="bullet"/>
      <w:lvlText w:val=""/>
      <w:lvlJc w:val="left"/>
      <w:pPr>
        <w:tabs>
          <w:tab w:val="num" w:pos="5760"/>
        </w:tabs>
        <w:ind w:left="5760" w:hanging="360"/>
      </w:pPr>
      <w:rPr>
        <w:rFonts w:ascii="Symbol" w:hAnsi="Symbol" w:cs="Symbol" w:hint="default"/>
        <w:sz w:val="20"/>
      </w:rPr>
    </w:lvl>
    <w:lvl w:ilvl="8">
      <w:start w:val="1"/>
      <w:numFmt w:val="bullet"/>
      <w:lvlText w:val=""/>
      <w:lvlJc w:val="left"/>
      <w:pPr>
        <w:tabs>
          <w:tab w:val="num" w:pos="6480"/>
        </w:tabs>
        <w:ind w:left="6480" w:hanging="360"/>
      </w:pPr>
      <w:rPr>
        <w:rFonts w:ascii="Symbol" w:hAnsi="Symbol" w:cs="Symbol" w:hint="default"/>
        <w:sz w:val="20"/>
      </w:rPr>
    </w:lvl>
  </w:abstractNum>
  <w:abstractNum w:abstractNumId="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
    <w:lvl w:ilvl="0">
      <w:start w:val="1"/>
      <w:numFmt w:val="bullet"/>
      <w:lvlText w:val=""/>
      <w:lvlJc w:val="left"/>
      <w:pPr>
        <w:tabs>
          <w:tab w:val="num" w:pos="720"/>
        </w:tabs>
        <w:ind w:left="720" w:hanging="360"/>
      </w:pPr>
      <w:rPr>
        <w:rFonts w:ascii="Symbol" w:hAnsi="Symbol" w:cs="Symbol" w:hint="default"/>
        <w:sz w:val="20"/>
      </w:rPr>
    </w:lvl>
    <w:lvl w:ilvl="1">
      <w:start w:val="1"/>
      <w:numFmt w:val="decimal"/>
      <w:lvlText w:val="%2."/>
      <w:lvlJc w:val="left"/>
      <w:pPr>
        <w:tabs>
          <w:tab w:val="num" w:pos="1440"/>
        </w:tabs>
        <w:ind w:left="1440" w:hanging="360"/>
      </w:pPr>
      <w:rPr>
        <w:b/>
        <w:bCs/>
      </w:rPr>
    </w:lvl>
    <w:lvl w:ilvl="2">
      <w:start w:val="1"/>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Symbol" w:hAnsi="Symbol" w:cs="Symbol" w:hint="default"/>
        <w:sz w:val="20"/>
      </w:rPr>
    </w:lvl>
    <w:lvl w:ilvl="4">
      <w:start w:val="1"/>
      <w:numFmt w:val="bullet"/>
      <w:lvlText w:val=""/>
      <w:lvlJc w:val="left"/>
      <w:pPr>
        <w:tabs>
          <w:tab w:val="num" w:pos="3600"/>
        </w:tabs>
        <w:ind w:left="3600" w:hanging="360"/>
      </w:pPr>
      <w:rPr>
        <w:rFonts w:ascii="Symbol" w:hAnsi="Symbol" w:cs="Symbol" w:hint="default"/>
        <w:sz w:val="20"/>
      </w:rPr>
    </w:lvl>
    <w:lvl w:ilvl="5">
      <w:start w:val="1"/>
      <w:numFmt w:val="bullet"/>
      <w:lvlText w:val=""/>
      <w:lvlJc w:val="left"/>
      <w:pPr>
        <w:tabs>
          <w:tab w:val="num" w:pos="4320"/>
        </w:tabs>
        <w:ind w:left="4320" w:hanging="360"/>
      </w:pPr>
      <w:rPr>
        <w:rFonts w:ascii="Symbol" w:hAnsi="Symbol" w:cs="Symbol" w:hint="default"/>
        <w:sz w:val="20"/>
      </w:rPr>
    </w:lvl>
    <w:lvl w:ilvl="6">
      <w:start w:val="1"/>
      <w:numFmt w:val="bullet"/>
      <w:lvlText w:val=""/>
      <w:lvlJc w:val="left"/>
      <w:pPr>
        <w:tabs>
          <w:tab w:val="num" w:pos="5040"/>
        </w:tabs>
        <w:ind w:left="5040" w:hanging="360"/>
      </w:pPr>
      <w:rPr>
        <w:rFonts w:ascii="Symbol" w:hAnsi="Symbol" w:cs="Symbol" w:hint="default"/>
        <w:sz w:val="20"/>
      </w:rPr>
    </w:lvl>
    <w:lvl w:ilvl="7">
      <w:start w:val="1"/>
      <w:numFmt w:val="bullet"/>
      <w:lvlText w:val=""/>
      <w:lvlJc w:val="left"/>
      <w:pPr>
        <w:tabs>
          <w:tab w:val="num" w:pos="5760"/>
        </w:tabs>
        <w:ind w:left="5760" w:hanging="360"/>
      </w:pPr>
      <w:rPr>
        <w:rFonts w:ascii="Symbol" w:hAnsi="Symbol" w:cs="Symbol" w:hint="default"/>
        <w:sz w:val="20"/>
      </w:rPr>
    </w:lvl>
    <w:lvl w:ilvl="8">
      <w:start w:val="1"/>
      <w:numFmt w:val="bullet"/>
      <w:lvlText w:val=""/>
      <w:lvlJc w:val="left"/>
      <w:pPr>
        <w:tabs>
          <w:tab w:val="num" w:pos="6480"/>
        </w:tabs>
        <w:ind w:left="6480" w:hanging="360"/>
      </w:pPr>
      <w:rPr>
        <w:rFonts w:ascii="Symbol" w:hAnsi="Symbol" w:cs="Symbol" w:hint="default"/>
        <w:sz w:val="20"/>
      </w:rPr>
    </w:lvl>
  </w:abstractNum>
  <w:abstractNum w:abstractNumId="11">
    <w:lvl w:ilvl="0">
      <w:start w:val="1"/>
      <w:numFmt w:val="decimal"/>
      <w:lvlText w:val="%1."/>
      <w:lvlJc w:val="left"/>
      <w:pPr>
        <w:tabs>
          <w:tab w:val="num" w:pos="720"/>
        </w:tabs>
        <w:ind w:left="720" w:hanging="360"/>
      </w:pPr>
      <w:rPr>
        <w:b/>
        <w:bCs/>
      </w:rPr>
    </w:lvl>
    <w:lvl w:ilvl="1">
      <w:start w:val="1"/>
      <w:numFmt w:val="bullet"/>
      <w:lvlText w:val=""/>
      <w:lvlJc w:val="left"/>
      <w:pPr>
        <w:tabs>
          <w:tab w:val="num" w:pos="1440"/>
        </w:tabs>
        <w:ind w:left="1440" w:hanging="360"/>
      </w:pPr>
      <w:rPr>
        <w:rFonts w:ascii="Symbol" w:hAnsi="Symbol" w:cs="Symbol" w:hint="default"/>
        <w:sz w:val="20"/>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12">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
      <w:lvlJc w:val="left"/>
      <w:pPr>
        <w:tabs>
          <w:tab w:val="num" w:pos="1440"/>
        </w:tabs>
        <w:ind w:left="1440" w:hanging="360"/>
      </w:pPr>
      <w:rPr>
        <w:rFonts w:ascii="Symbol" w:hAnsi="Symbol" w:cs="Symbol" w:hint="default"/>
        <w:sz w:val="20"/>
      </w:rPr>
    </w:lvl>
    <w:lvl w:ilvl="2">
      <w:start w:val="1"/>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Symbol" w:hAnsi="Symbol" w:cs="Symbol" w:hint="default"/>
        <w:sz w:val="20"/>
      </w:rPr>
    </w:lvl>
    <w:lvl w:ilvl="4">
      <w:start w:val="1"/>
      <w:numFmt w:val="bullet"/>
      <w:lvlText w:val=""/>
      <w:lvlJc w:val="left"/>
      <w:pPr>
        <w:tabs>
          <w:tab w:val="num" w:pos="3600"/>
        </w:tabs>
        <w:ind w:left="3600" w:hanging="360"/>
      </w:pPr>
      <w:rPr>
        <w:rFonts w:ascii="Symbol" w:hAnsi="Symbol" w:cs="Symbol" w:hint="default"/>
        <w:sz w:val="20"/>
      </w:rPr>
    </w:lvl>
    <w:lvl w:ilvl="5">
      <w:start w:val="1"/>
      <w:numFmt w:val="bullet"/>
      <w:lvlText w:val=""/>
      <w:lvlJc w:val="left"/>
      <w:pPr>
        <w:tabs>
          <w:tab w:val="num" w:pos="4320"/>
        </w:tabs>
        <w:ind w:left="4320" w:hanging="360"/>
      </w:pPr>
      <w:rPr>
        <w:rFonts w:ascii="Symbol" w:hAnsi="Symbol" w:cs="Symbol" w:hint="default"/>
        <w:sz w:val="20"/>
      </w:rPr>
    </w:lvl>
    <w:lvl w:ilvl="6">
      <w:start w:val="1"/>
      <w:numFmt w:val="bullet"/>
      <w:lvlText w:val=""/>
      <w:lvlJc w:val="left"/>
      <w:pPr>
        <w:tabs>
          <w:tab w:val="num" w:pos="5040"/>
        </w:tabs>
        <w:ind w:left="5040" w:hanging="360"/>
      </w:pPr>
      <w:rPr>
        <w:rFonts w:ascii="Symbol" w:hAnsi="Symbol" w:cs="Symbol" w:hint="default"/>
        <w:sz w:val="20"/>
      </w:rPr>
    </w:lvl>
    <w:lvl w:ilvl="7">
      <w:start w:val="1"/>
      <w:numFmt w:val="bullet"/>
      <w:lvlText w:val=""/>
      <w:lvlJc w:val="left"/>
      <w:pPr>
        <w:tabs>
          <w:tab w:val="num" w:pos="5760"/>
        </w:tabs>
        <w:ind w:left="5760" w:hanging="360"/>
      </w:pPr>
      <w:rPr>
        <w:rFonts w:ascii="Symbol" w:hAnsi="Symbol" w:cs="Symbol" w:hint="default"/>
        <w:sz w:val="20"/>
      </w:rPr>
    </w:lvl>
    <w:lvl w:ilvl="8">
      <w:start w:val="1"/>
      <w:numFmt w:val="bullet"/>
      <w:lvlText w:val=""/>
      <w:lvlJc w:val="left"/>
      <w:pPr>
        <w:tabs>
          <w:tab w:val="num" w:pos="6480"/>
        </w:tabs>
        <w:ind w:left="6480" w:hanging="360"/>
      </w:pPr>
      <w:rPr>
        <w:rFonts w:ascii="Symbol" w:hAnsi="Symbol" w:cs="Symbol" w:hint="default"/>
        <w:sz w:val="20"/>
      </w:rPr>
    </w:lvl>
  </w:abstractNum>
  <w:abstractNum w:abstractNumId="13">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
      <w:lvlJc w:val="left"/>
      <w:pPr>
        <w:tabs>
          <w:tab w:val="num" w:pos="1440"/>
        </w:tabs>
        <w:ind w:left="1440" w:hanging="360"/>
      </w:pPr>
      <w:rPr>
        <w:rFonts w:ascii="Symbol" w:hAnsi="Symbol" w:cs="Symbol" w:hint="default"/>
        <w:sz w:val="20"/>
      </w:rPr>
    </w:lvl>
    <w:lvl w:ilvl="2">
      <w:start w:val="1"/>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Symbol" w:hAnsi="Symbol" w:cs="Symbol" w:hint="default"/>
        <w:sz w:val="20"/>
      </w:rPr>
    </w:lvl>
    <w:lvl w:ilvl="4">
      <w:start w:val="1"/>
      <w:numFmt w:val="bullet"/>
      <w:lvlText w:val=""/>
      <w:lvlJc w:val="left"/>
      <w:pPr>
        <w:tabs>
          <w:tab w:val="num" w:pos="3600"/>
        </w:tabs>
        <w:ind w:left="3600" w:hanging="360"/>
      </w:pPr>
      <w:rPr>
        <w:rFonts w:ascii="Symbol" w:hAnsi="Symbol" w:cs="Symbol" w:hint="default"/>
        <w:sz w:val="20"/>
      </w:rPr>
    </w:lvl>
    <w:lvl w:ilvl="5">
      <w:start w:val="1"/>
      <w:numFmt w:val="bullet"/>
      <w:lvlText w:val=""/>
      <w:lvlJc w:val="left"/>
      <w:pPr>
        <w:tabs>
          <w:tab w:val="num" w:pos="4320"/>
        </w:tabs>
        <w:ind w:left="4320" w:hanging="360"/>
      </w:pPr>
      <w:rPr>
        <w:rFonts w:ascii="Symbol" w:hAnsi="Symbol" w:cs="Symbol" w:hint="default"/>
        <w:sz w:val="20"/>
      </w:rPr>
    </w:lvl>
    <w:lvl w:ilvl="6">
      <w:start w:val="1"/>
      <w:numFmt w:val="bullet"/>
      <w:lvlText w:val=""/>
      <w:lvlJc w:val="left"/>
      <w:pPr>
        <w:tabs>
          <w:tab w:val="num" w:pos="5040"/>
        </w:tabs>
        <w:ind w:left="5040" w:hanging="360"/>
      </w:pPr>
      <w:rPr>
        <w:rFonts w:ascii="Symbol" w:hAnsi="Symbol" w:cs="Symbol" w:hint="default"/>
        <w:sz w:val="20"/>
      </w:rPr>
    </w:lvl>
    <w:lvl w:ilvl="7">
      <w:start w:val="1"/>
      <w:numFmt w:val="bullet"/>
      <w:lvlText w:val=""/>
      <w:lvlJc w:val="left"/>
      <w:pPr>
        <w:tabs>
          <w:tab w:val="num" w:pos="5760"/>
        </w:tabs>
        <w:ind w:left="5760" w:hanging="360"/>
      </w:pPr>
      <w:rPr>
        <w:rFonts w:ascii="Symbol" w:hAnsi="Symbol" w:cs="Symbol" w:hint="default"/>
        <w:sz w:val="20"/>
      </w:rPr>
    </w:lvl>
    <w:lvl w:ilvl="8">
      <w:start w:val="1"/>
      <w:numFmt w:val="bullet"/>
      <w:lvlText w:val=""/>
      <w:lvlJc w:val="left"/>
      <w:pPr>
        <w:tabs>
          <w:tab w:val="num" w:pos="6480"/>
        </w:tabs>
        <w:ind w:left="6480" w:hanging="360"/>
      </w:pPr>
      <w:rPr>
        <w:rFonts w:ascii="Symbol" w:hAnsi="Symbol" w:cs="Symbol" w:hint="default"/>
        <w:sz w:val="20"/>
      </w:rPr>
    </w:lvl>
  </w:abstractNum>
  <w:abstractNum w:abstractNumId="14">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
      <w:lvlJc w:val="left"/>
      <w:pPr>
        <w:tabs>
          <w:tab w:val="num" w:pos="1440"/>
        </w:tabs>
        <w:ind w:left="1440" w:hanging="360"/>
      </w:pPr>
      <w:rPr>
        <w:rFonts w:ascii="Symbol" w:hAnsi="Symbol" w:cs="Symbol" w:hint="default"/>
        <w:sz w:val="20"/>
      </w:rPr>
    </w:lvl>
    <w:lvl w:ilvl="2">
      <w:start w:val="1"/>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Symbol" w:hAnsi="Symbol" w:cs="Symbol" w:hint="default"/>
        <w:sz w:val="20"/>
      </w:rPr>
    </w:lvl>
    <w:lvl w:ilvl="4">
      <w:start w:val="1"/>
      <w:numFmt w:val="bullet"/>
      <w:lvlText w:val=""/>
      <w:lvlJc w:val="left"/>
      <w:pPr>
        <w:tabs>
          <w:tab w:val="num" w:pos="3600"/>
        </w:tabs>
        <w:ind w:left="3600" w:hanging="360"/>
      </w:pPr>
      <w:rPr>
        <w:rFonts w:ascii="Symbol" w:hAnsi="Symbol" w:cs="Symbol" w:hint="default"/>
        <w:sz w:val="20"/>
      </w:rPr>
    </w:lvl>
    <w:lvl w:ilvl="5">
      <w:start w:val="1"/>
      <w:numFmt w:val="bullet"/>
      <w:lvlText w:val=""/>
      <w:lvlJc w:val="left"/>
      <w:pPr>
        <w:tabs>
          <w:tab w:val="num" w:pos="4320"/>
        </w:tabs>
        <w:ind w:left="4320" w:hanging="360"/>
      </w:pPr>
      <w:rPr>
        <w:rFonts w:ascii="Symbol" w:hAnsi="Symbol" w:cs="Symbol" w:hint="default"/>
        <w:sz w:val="20"/>
      </w:rPr>
    </w:lvl>
    <w:lvl w:ilvl="6">
      <w:start w:val="1"/>
      <w:numFmt w:val="bullet"/>
      <w:lvlText w:val=""/>
      <w:lvlJc w:val="left"/>
      <w:pPr>
        <w:tabs>
          <w:tab w:val="num" w:pos="5040"/>
        </w:tabs>
        <w:ind w:left="5040" w:hanging="360"/>
      </w:pPr>
      <w:rPr>
        <w:rFonts w:ascii="Symbol" w:hAnsi="Symbol" w:cs="Symbol" w:hint="default"/>
        <w:sz w:val="20"/>
      </w:rPr>
    </w:lvl>
    <w:lvl w:ilvl="7">
      <w:start w:val="1"/>
      <w:numFmt w:val="bullet"/>
      <w:lvlText w:val=""/>
      <w:lvlJc w:val="left"/>
      <w:pPr>
        <w:tabs>
          <w:tab w:val="num" w:pos="5760"/>
        </w:tabs>
        <w:ind w:left="5760" w:hanging="360"/>
      </w:pPr>
      <w:rPr>
        <w:rFonts w:ascii="Symbol" w:hAnsi="Symbol" w:cs="Symbol" w:hint="default"/>
        <w:sz w:val="20"/>
      </w:rPr>
    </w:lvl>
    <w:lvl w:ilvl="8">
      <w:start w:val="1"/>
      <w:numFmt w:val="bullet"/>
      <w:lvlText w:val=""/>
      <w:lvlJc w:val="left"/>
      <w:pPr>
        <w:tabs>
          <w:tab w:val="num" w:pos="6480"/>
        </w:tabs>
        <w:ind w:left="6480" w:hanging="360"/>
      </w:pPr>
      <w:rPr>
        <w:rFonts w:ascii="Symbol" w:hAnsi="Symbol" w:cs="Symbol" w:hint="default"/>
        <w:sz w:val="20"/>
      </w:rPr>
    </w:lvl>
  </w:abstractNum>
  <w:abstractNum w:abstractNumId="15">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
      <w:lvlJc w:val="left"/>
      <w:pPr>
        <w:tabs>
          <w:tab w:val="num" w:pos="1440"/>
        </w:tabs>
        <w:ind w:left="1440" w:hanging="360"/>
      </w:pPr>
      <w:rPr>
        <w:rFonts w:ascii="Symbol" w:hAnsi="Symbol" w:cs="Symbol" w:hint="default"/>
        <w:sz w:val="20"/>
      </w:rPr>
    </w:lvl>
    <w:lvl w:ilvl="2">
      <w:start w:val="1"/>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Symbol" w:hAnsi="Symbol" w:cs="Symbol" w:hint="default"/>
        <w:sz w:val="20"/>
      </w:rPr>
    </w:lvl>
    <w:lvl w:ilvl="4">
      <w:start w:val="1"/>
      <w:numFmt w:val="bullet"/>
      <w:lvlText w:val=""/>
      <w:lvlJc w:val="left"/>
      <w:pPr>
        <w:tabs>
          <w:tab w:val="num" w:pos="3600"/>
        </w:tabs>
        <w:ind w:left="3600" w:hanging="360"/>
      </w:pPr>
      <w:rPr>
        <w:rFonts w:ascii="Symbol" w:hAnsi="Symbol" w:cs="Symbol" w:hint="default"/>
        <w:sz w:val="20"/>
      </w:rPr>
    </w:lvl>
    <w:lvl w:ilvl="5">
      <w:start w:val="1"/>
      <w:numFmt w:val="bullet"/>
      <w:lvlText w:val=""/>
      <w:lvlJc w:val="left"/>
      <w:pPr>
        <w:tabs>
          <w:tab w:val="num" w:pos="4320"/>
        </w:tabs>
        <w:ind w:left="4320" w:hanging="360"/>
      </w:pPr>
      <w:rPr>
        <w:rFonts w:ascii="Symbol" w:hAnsi="Symbol" w:cs="Symbol" w:hint="default"/>
        <w:sz w:val="20"/>
      </w:rPr>
    </w:lvl>
    <w:lvl w:ilvl="6">
      <w:start w:val="1"/>
      <w:numFmt w:val="bullet"/>
      <w:lvlText w:val=""/>
      <w:lvlJc w:val="left"/>
      <w:pPr>
        <w:tabs>
          <w:tab w:val="num" w:pos="5040"/>
        </w:tabs>
        <w:ind w:left="5040" w:hanging="360"/>
      </w:pPr>
      <w:rPr>
        <w:rFonts w:ascii="Symbol" w:hAnsi="Symbol" w:cs="Symbol" w:hint="default"/>
        <w:sz w:val="20"/>
      </w:rPr>
    </w:lvl>
    <w:lvl w:ilvl="7">
      <w:start w:val="1"/>
      <w:numFmt w:val="bullet"/>
      <w:lvlText w:val=""/>
      <w:lvlJc w:val="left"/>
      <w:pPr>
        <w:tabs>
          <w:tab w:val="num" w:pos="5760"/>
        </w:tabs>
        <w:ind w:left="5760" w:hanging="360"/>
      </w:pPr>
      <w:rPr>
        <w:rFonts w:ascii="Symbol" w:hAnsi="Symbol" w:cs="Symbol" w:hint="default"/>
        <w:sz w:val="20"/>
      </w:rPr>
    </w:lvl>
    <w:lvl w:ilvl="8">
      <w:start w:val="1"/>
      <w:numFmt w:val="bullet"/>
      <w:lvlText w:val=""/>
      <w:lvlJc w:val="left"/>
      <w:pPr>
        <w:tabs>
          <w:tab w:val="num" w:pos="6480"/>
        </w:tabs>
        <w:ind w:left="6480" w:hanging="360"/>
      </w:pPr>
      <w:rPr>
        <w:rFonts w:ascii="Symbol" w:hAnsi="Symbol" w:cs="Symbol" w:hint="default"/>
        <w:sz w:val="20"/>
      </w:rPr>
    </w:lvl>
  </w:abstractNum>
  <w:abstractNum w:abstractNumId="16">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bering>
</file>

<file path=word/settings.xml><?xml version="1.0" encoding="utf-8"?>
<w:settings xmlns:w="http://schemas.openxmlformats.org/wordprocessingml/2006/main">
  <w:zoom w:percent="130"/>
  <w:defaultTabStop w:val="708"/>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themeFontLang w:val="sl-SI"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kern w:val="2"/>
        <w:sz w:val="22"/>
        <w:szCs w:val="22"/>
        <w:lang w:val="sl-SI" w:eastAsia="en-US" w:bidi="ar-SA"/>
        <w14:ligatures w14:val="standardContextual"/>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6211ce"/>
    <w:pPr>
      <w:widowControl/>
      <w:bidi w:val="0"/>
      <w:spacing w:lineRule="auto" w:line="259" w:before="0" w:after="160"/>
      <w:jc w:val="left"/>
    </w:pPr>
    <w:rPr>
      <w:rFonts w:ascii="Calibri" w:hAnsi="Calibri" w:eastAsia="Calibri" w:cs="" w:asciiTheme="minorHAnsi" w:cstheme="minorBidi" w:eastAsiaTheme="minorHAnsi" w:hAnsiTheme="minorHAnsi"/>
      <w:color w:val="auto"/>
      <w:kern w:val="2"/>
      <w:sz w:val="22"/>
      <w:szCs w:val="22"/>
      <w:lang w:val="sl-SI" w:eastAsia="en-US" w:bidi="ar-SA"/>
      <w14:ligatures w14:val="standardContextual"/>
    </w:rPr>
  </w:style>
  <w:style w:type="character" w:styleId="DefaultParagraphFont" w:default="1">
    <w:name w:val="Default Paragraph Font"/>
    <w:uiPriority w:val="1"/>
    <w:semiHidden/>
    <w:unhideWhenUsed/>
    <w:qFormat/>
    <w:rPr/>
  </w:style>
  <w:style w:type="character" w:styleId="Char" w:customStyle="1">
    <w:name w:val="Κεφαλίδα Char"/>
    <w:basedOn w:val="DefaultParagraphFont"/>
    <w:uiPriority w:val="99"/>
    <w:qFormat/>
    <w:rsid w:val="0000272d"/>
    <w:rPr/>
  </w:style>
  <w:style w:type="character" w:styleId="Char1" w:customStyle="1">
    <w:name w:val="Υποσέλιδο Char"/>
    <w:basedOn w:val="DefaultParagraphFont"/>
    <w:uiPriority w:val="99"/>
    <w:qFormat/>
    <w:rsid w:val="0000272d"/>
    <w:rPr/>
  </w:style>
  <w:style w:type="character" w:styleId="TextcrowdfundmatchZnak" w:customStyle="1">
    <w:name w:val="text crowdfundmatch Znak"/>
    <w:basedOn w:val="DefaultParagraphFont"/>
    <w:link w:val="Textcrowdfundmatch"/>
    <w:qFormat/>
    <w:rsid w:val="004b519b"/>
    <w:rPr>
      <w:rFonts w:ascii="Open Sans" w:hAnsi="Open Sans" w:cs="Open Sans"/>
      <w:szCs w:val="24"/>
      <w:lang w:val="en-GB"/>
    </w:rPr>
  </w:style>
  <w:style w:type="character" w:styleId="Char2" w:customStyle="1">
    <w:name w:val="Κείμενο υποσημείωσης Char"/>
    <w:basedOn w:val="DefaultParagraphFont"/>
    <w:uiPriority w:val="99"/>
    <w:semiHidden/>
    <w:qFormat/>
    <w:rsid w:val="00400b1f"/>
    <w:rPr>
      <w:sz w:val="20"/>
      <w:szCs w:val="20"/>
    </w:rPr>
  </w:style>
  <w:style w:type="character" w:styleId="Style14">
    <w:name w:val="Footnote Reference"/>
    <w:rPr>
      <w:vertAlign w:val="superscript"/>
    </w:rPr>
  </w:style>
  <w:style w:type="character" w:styleId="FootnoteCharacters">
    <w:name w:val="Footnote Characters"/>
    <w:basedOn w:val="DefaultParagraphFont"/>
    <w:uiPriority w:val="99"/>
    <w:semiHidden/>
    <w:unhideWhenUsed/>
    <w:qFormat/>
    <w:rsid w:val="00400b1f"/>
    <w:rPr>
      <w:vertAlign w:val="superscript"/>
    </w:rPr>
  </w:style>
  <w:style w:type="character" w:styleId="Title2crowdfundmatchZnak" w:customStyle="1">
    <w:name w:val="Title 2 crowdfundmatch Znak"/>
    <w:basedOn w:val="DefaultParagraphFont"/>
    <w:link w:val="Title2crowdfundmatch"/>
    <w:qFormat/>
    <w:rsid w:val="00400b1f"/>
    <w:rPr>
      <w:rFonts w:ascii="Open Sans" w:hAnsi="Open Sans" w:cs="Open Sans"/>
      <w:sz w:val="24"/>
      <w:szCs w:val="28"/>
      <w:lang w:val="en-GB"/>
    </w:rPr>
  </w:style>
  <w:style w:type="character" w:styleId="Style15">
    <w:name w:val="Hyperlink"/>
    <w:basedOn w:val="DefaultParagraphFont"/>
    <w:uiPriority w:val="99"/>
    <w:unhideWhenUsed/>
    <w:rsid w:val="00400b1f"/>
    <w:rPr>
      <w:color w:val="0563C1" w:themeColor="hyperlink"/>
      <w:u w:val="single"/>
    </w:rPr>
  </w:style>
  <w:style w:type="character" w:styleId="1" w:customStyle="1">
    <w:name w:val="Ανεπίλυτη αναφορά1"/>
    <w:basedOn w:val="DefaultParagraphFont"/>
    <w:uiPriority w:val="99"/>
    <w:semiHidden/>
    <w:unhideWhenUsed/>
    <w:qFormat/>
    <w:rsid w:val="00400b1f"/>
    <w:rPr>
      <w:color w:val="605E5C"/>
      <w:shd w:fill="E1DFDD" w:val="clear"/>
    </w:rPr>
  </w:style>
  <w:style w:type="character" w:styleId="UnresolvedMention">
    <w:name w:val="Unresolved Mention"/>
    <w:basedOn w:val="DefaultParagraphFont"/>
    <w:uiPriority w:val="99"/>
    <w:semiHidden/>
    <w:unhideWhenUsed/>
    <w:qFormat/>
    <w:rsid w:val="00d47a5c"/>
    <w:rPr>
      <w:color w:val="605E5C"/>
      <w:shd w:fill="E1DFDD" w:val="clear"/>
    </w:rPr>
  </w:style>
  <w:style w:type="paragraph" w:styleId="Style16">
    <w:name w:val="Επικεφαλίδα"/>
    <w:basedOn w:val="Normal"/>
    <w:next w:val="Style17"/>
    <w:qFormat/>
    <w:pPr>
      <w:keepNext w:val="true"/>
      <w:spacing w:before="240" w:after="120"/>
    </w:pPr>
    <w:rPr>
      <w:rFonts w:ascii="Liberation Sans" w:hAnsi="Liberation Sans" w:eastAsia="Microsoft YaHei" w:cs="Arial"/>
      <w:sz w:val="28"/>
      <w:szCs w:val="28"/>
    </w:rPr>
  </w:style>
  <w:style w:type="paragraph" w:styleId="Style17">
    <w:name w:val="Body Text"/>
    <w:basedOn w:val="Normal"/>
    <w:pPr>
      <w:spacing w:lineRule="auto" w:line="276" w:before="0" w:after="140"/>
    </w:pPr>
    <w:rPr/>
  </w:style>
  <w:style w:type="paragraph" w:styleId="Style18">
    <w:name w:val="List"/>
    <w:basedOn w:val="Style17"/>
    <w:pPr/>
    <w:rPr>
      <w:rFonts w:cs="Arial"/>
    </w:rPr>
  </w:style>
  <w:style w:type="paragraph" w:styleId="Style19">
    <w:name w:val="Caption"/>
    <w:basedOn w:val="Normal"/>
    <w:qFormat/>
    <w:pPr>
      <w:suppressLineNumbers/>
      <w:spacing w:before="120" w:after="120"/>
    </w:pPr>
    <w:rPr>
      <w:rFonts w:cs="Arial"/>
      <w:i/>
      <w:iCs/>
      <w:sz w:val="24"/>
      <w:szCs w:val="24"/>
    </w:rPr>
  </w:style>
  <w:style w:type="paragraph" w:styleId="Style20">
    <w:name w:val="Ευρετήριο"/>
    <w:basedOn w:val="Normal"/>
    <w:qFormat/>
    <w:pPr>
      <w:suppressLineNumbers/>
    </w:pPr>
    <w:rPr>
      <w:rFonts w:cs="Arial"/>
      <w:lang w:val="zxx" w:eastAsia="zxx" w:bidi="zxx"/>
    </w:rPr>
  </w:style>
  <w:style w:type="paragraph" w:styleId="Style21">
    <w:name w:val="Κεφαλίδα και υποσέλιδο"/>
    <w:basedOn w:val="Normal"/>
    <w:qFormat/>
    <w:pPr/>
    <w:rPr/>
  </w:style>
  <w:style w:type="paragraph" w:styleId="Style22">
    <w:name w:val="Header"/>
    <w:basedOn w:val="Normal"/>
    <w:link w:val="Char"/>
    <w:uiPriority w:val="99"/>
    <w:unhideWhenUsed/>
    <w:rsid w:val="0000272d"/>
    <w:pPr>
      <w:tabs>
        <w:tab w:val="clear" w:pos="708"/>
        <w:tab w:val="center" w:pos="4536" w:leader="none"/>
        <w:tab w:val="right" w:pos="9072" w:leader="none"/>
      </w:tabs>
      <w:spacing w:lineRule="auto" w:line="240" w:before="0" w:after="0"/>
    </w:pPr>
    <w:rPr/>
  </w:style>
  <w:style w:type="paragraph" w:styleId="Style23">
    <w:name w:val="Footer"/>
    <w:basedOn w:val="Normal"/>
    <w:link w:val="Char1"/>
    <w:uiPriority w:val="99"/>
    <w:unhideWhenUsed/>
    <w:rsid w:val="0000272d"/>
    <w:pPr>
      <w:tabs>
        <w:tab w:val="clear" w:pos="708"/>
        <w:tab w:val="center" w:pos="4536" w:leader="none"/>
        <w:tab w:val="right" w:pos="9072" w:leader="none"/>
      </w:tabs>
      <w:spacing w:lineRule="auto" w:line="240" w:before="0" w:after="0"/>
    </w:pPr>
    <w:rPr/>
  </w:style>
  <w:style w:type="paragraph" w:styleId="ListParagraph">
    <w:name w:val="List Paragraph"/>
    <w:basedOn w:val="Normal"/>
    <w:uiPriority w:val="34"/>
    <w:qFormat/>
    <w:rsid w:val="00c20a97"/>
    <w:pPr>
      <w:spacing w:before="0" w:after="160"/>
      <w:ind w:left="720" w:hanging="0"/>
      <w:contextualSpacing/>
    </w:pPr>
    <w:rPr/>
  </w:style>
  <w:style w:type="paragraph" w:styleId="Textcrowdfundmatch" w:customStyle="1">
    <w:name w:val="text crowdfundmatch"/>
    <w:basedOn w:val="Normal"/>
    <w:link w:val="TextcrowdfundmatchZnak"/>
    <w:qFormat/>
    <w:rsid w:val="004b519b"/>
    <w:pPr/>
    <w:rPr>
      <w:rFonts w:ascii="Open Sans" w:hAnsi="Open Sans" w:cs="Open Sans"/>
      <w:szCs w:val="24"/>
      <w:lang w:val="en-GB"/>
    </w:rPr>
  </w:style>
  <w:style w:type="paragraph" w:styleId="Default" w:customStyle="1">
    <w:name w:val="Default"/>
    <w:qFormat/>
    <w:rsid w:val="00d02619"/>
    <w:pPr>
      <w:widowControl/>
      <w:bidi w:val="0"/>
      <w:spacing w:lineRule="auto" w:line="240" w:before="0" w:after="0"/>
      <w:jc w:val="left"/>
    </w:pPr>
    <w:rPr>
      <w:rFonts w:ascii="Open Sans" w:hAnsi="Open Sans" w:cs="Open Sans" w:eastAsia="Calibri"/>
      <w:color w:val="000000"/>
      <w:kern w:val="0"/>
      <w:sz w:val="24"/>
      <w:szCs w:val="24"/>
      <w:lang w:val="sl-SI" w:eastAsia="en-US" w:bidi="ar-SA"/>
    </w:rPr>
  </w:style>
  <w:style w:type="paragraph" w:styleId="Style24">
    <w:name w:val="Footnote Text"/>
    <w:basedOn w:val="Normal"/>
    <w:link w:val="Char2"/>
    <w:uiPriority w:val="99"/>
    <w:semiHidden/>
    <w:unhideWhenUsed/>
    <w:rsid w:val="00400b1f"/>
    <w:pPr>
      <w:spacing w:lineRule="auto" w:line="240" w:before="0" w:after="0"/>
    </w:pPr>
    <w:rPr>
      <w:sz w:val="20"/>
      <w:szCs w:val="20"/>
    </w:rPr>
  </w:style>
  <w:style w:type="paragraph" w:styleId="Title2crowdfundmatch" w:customStyle="1">
    <w:name w:val="Title 2 crowdfundmatch"/>
    <w:basedOn w:val="ListParagraph"/>
    <w:link w:val="Title2crowdfundmatchZnak"/>
    <w:qFormat/>
    <w:rsid w:val="00400b1f"/>
    <w:pPr>
      <w:numPr>
        <w:ilvl w:val="1"/>
        <w:numId w:val="2"/>
      </w:numPr>
    </w:pPr>
    <w:rPr>
      <w:rFonts w:ascii="Open Sans" w:hAnsi="Open Sans" w:cs="Open Sans"/>
      <w:sz w:val="24"/>
      <w:szCs w:val="28"/>
      <w:lang w:val="en-GB"/>
    </w:rPr>
  </w:style>
  <w:style w:type="paragraph" w:styleId="Caption">
    <w:name w:val="caption"/>
    <w:basedOn w:val="Normal"/>
    <w:next w:val="Normal"/>
    <w:uiPriority w:val="35"/>
    <w:unhideWhenUsed/>
    <w:qFormat/>
    <w:rsid w:val="009e4f7d"/>
    <w:pPr>
      <w:spacing w:lineRule="auto" w:line="240" w:before="0" w:after="200"/>
    </w:pPr>
    <w:rPr>
      <w:i/>
      <w:iCs/>
      <w:color w:val="44546A" w:themeColor="text2"/>
      <w:sz w:val="18"/>
      <w:szCs w:val="18"/>
    </w:rPr>
  </w:style>
  <w:style w:type="paragraph" w:styleId="Style25">
    <w:name w:val="Περιεχόμενα πλαισίου"/>
    <w:basedOn w:val="Normal"/>
    <w:qFormat/>
    <w:pPr/>
    <w:rPr/>
  </w:style>
  <w:style w:type="numbering" w:styleId="NoList" w:default="1">
    <w:name w:val="No List"/>
    <w:uiPriority w:val="99"/>
    <w:semiHidden/>
    <w:unhideWhenUsed/>
    <w:qFormat/>
  </w:style>
  <w:style w:type="table" w:default="1" w:styleId="a1">
    <w:name w:val="Normal Table"/>
    <w:uiPriority w:val="99"/>
    <w:semiHidden/>
    <w:unhideWhenUsed/>
    <w:tblPr>
      <w:tblCellMar>
        <w:top w:w="0" w:type="dxa"/>
        <w:left w:w="108" w:type="dxa"/>
        <w:bottom w:w="0" w:type="dxa"/>
        <w:right w:w="108" w:type="dxa"/>
      </w:tblCellMar>
    </w:tblPr>
  </w:style>
  <w:style w:type="table" w:styleId="a5">
    <w:name w:val="Table Grid"/>
    <w:basedOn w:val="a1"/>
    <w:uiPriority w:val="39"/>
    <w:rsid w:val="00433886"/>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Tabelamrea1">
    <w:name w:val="Tabela – mreža1"/>
    <w:basedOn w:val="a1"/>
    <w:uiPriority w:val="59"/>
    <w:rsid w:val="00ca7ce6"/>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hyperlink" Target="https://www.interregeurope.eu/crowdfundmatch/library" TargetMode="External"/><Relationship Id="rId5" Type="http://schemas.openxmlformats.org/officeDocument/2006/relationships/hyperlink" Target="https://servizi.comune.milano.it/web/guest/dettaglio-contenuto/-/asset_publisher/pqxq/content/avviso-pubblico-crowdfunding-civico-2022" TargetMode="External"/><Relationship Id="rId6" Type="http://schemas.openxmlformats.org/officeDocument/2006/relationships/hyperlink" Target="https://socrowd.be/" TargetMode="External"/><Relationship Id="rId7" Type="http://schemas.openxmlformats.org/officeDocument/2006/relationships/hyperlink" Target="https://www.juntadeandalucia.es/organismos/idea/areas/subvenciones-ayudas-financiacion/financiacion-reembolsable/paginas/instrumentos-financieros-feder-2014-2020.html" TargetMode="External"/><Relationship Id="rId8" Type="http://schemas.openxmlformats.org/officeDocument/2006/relationships/image" Target="media/image3.jpeg"/><Relationship Id="rId9" Type="http://schemas.openxmlformats.org/officeDocument/2006/relationships/hyperlink" Target="https://www.govilnius.lt/photos-of-vilnius" TargetMode="External"/><Relationship Id="rId10" Type="http://schemas.openxmlformats.org/officeDocument/2006/relationships/image" Target="media/image4.png"/><Relationship Id="rId11" Type="http://schemas.openxmlformats.org/officeDocument/2006/relationships/hyperlink" Target="https://www.interregeurope.eu/crowdfundmatch" TargetMode="External"/><Relationship Id="rId12" Type="http://schemas.openxmlformats.org/officeDocument/2006/relationships/image" Target="media/image5.png"/><Relationship Id="rId13" Type="http://schemas.microsoft.com/office/2007/relationships/hdphoto" Target="media/hdphoto1.wdp"/><Relationship Id="rId14" Type="http://schemas.openxmlformats.org/officeDocument/2006/relationships/image" Target="media/image5.png"/><Relationship Id="rId15" Type="http://schemas.openxmlformats.org/officeDocument/2006/relationships/hyperlink" Target="https://www.linkedin.com/company/crowd-fund-match/" TargetMode="External"/><Relationship Id="rId16" Type="http://schemas.openxmlformats.org/officeDocument/2006/relationships/image" Target="media/image6.png"/><Relationship Id="rId17" Type="http://schemas.openxmlformats.org/officeDocument/2006/relationships/hyperlink" Target="https://www.facebook.com/CROWDFUNDMATCH" TargetMode="External"/><Relationship Id="rId18" Type="http://schemas.openxmlformats.org/officeDocument/2006/relationships/image" Target="media/image7.png"/><Relationship Id="rId19" Type="http://schemas.openxmlformats.org/officeDocument/2006/relationships/hyperlink" Target="https://twitter.com/crowdfundmatch" TargetMode="External"/><Relationship Id="rId20" Type="http://schemas.openxmlformats.org/officeDocument/2006/relationships/header" Target="header1.xml"/><Relationship Id="rId21" Type="http://schemas.openxmlformats.org/officeDocument/2006/relationships/header" Target="header2.xml"/><Relationship Id="rId22" Type="http://schemas.openxmlformats.org/officeDocument/2006/relationships/header" Target="header3.xml"/><Relationship Id="rId23" Type="http://schemas.openxmlformats.org/officeDocument/2006/relationships/footer" Target="footer1.xml"/><Relationship Id="rId24" Type="http://schemas.openxmlformats.org/officeDocument/2006/relationships/numbering" Target="numbering.xml"/><Relationship Id="rId25" Type="http://schemas.openxmlformats.org/officeDocument/2006/relationships/fontTable" Target="fontTable.xml"/><Relationship Id="rId26" Type="http://schemas.openxmlformats.org/officeDocument/2006/relationships/settings" Target="settings.xml"/><Relationship Id="rId27" Type="http://schemas.openxmlformats.org/officeDocument/2006/relationships/theme" Target="theme/theme1.xml"/><Relationship Id="rId28" Type="http://schemas.openxmlformats.org/officeDocument/2006/relationships/customXml" Target="../customXml/item1.xml"/>
</Relationships>
</file>

<file path=word/_rels/header1.xml.rels><?xml version="1.0" encoding="UTF-8"?>
<Relationships xmlns="http://schemas.openxmlformats.org/package/2006/relationships"><Relationship Id="rId1" Type="http://schemas.openxmlformats.org/officeDocument/2006/relationships/image" Target="media/image8.jpeg"/><Relationship Id="rId2" Type="http://schemas.openxmlformats.org/officeDocument/2006/relationships/image" Target="media/image8.jpeg"/>
</Relationships>
</file>

<file path=word/_rels/header2.xml.rels><?xml version="1.0" encoding="UTF-8"?>
<Relationships xmlns="http://schemas.openxmlformats.org/package/2006/relationships"><Relationship Id="rId1" Type="http://schemas.openxmlformats.org/officeDocument/2006/relationships/image" Target="media/image8.jpeg"/><Relationship Id="rId2" Type="http://schemas.openxmlformats.org/officeDocument/2006/relationships/image" Target="media/image8.jpeg"/><Relationship Id="rId3" Type="http://schemas.openxmlformats.org/officeDocument/2006/relationships/image" Target="media/image9.jpeg"/>
</Relationships>
</file>

<file path=word/_rels/header3.xml.rels><?xml version="1.0" encoding="UTF-8"?>
<Relationships xmlns="http://schemas.openxmlformats.org/package/2006/relationships"><Relationship Id="rId1" Type="http://schemas.openxmlformats.org/officeDocument/2006/relationships/image" Target="media/image8.jpeg"/><Relationship Id="rId2" Type="http://schemas.openxmlformats.org/officeDocument/2006/relationships/image" Target="media/image8.jpeg"/><Relationship Id="rId3" Type="http://schemas.openxmlformats.org/officeDocument/2006/relationships/image" Target="media/image9.jpeg"/>
</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0A1303C5-AAA2-4614-9A1E-F0D60F1C70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TotalTime>
  <Application>LibreOffice/7.4.2.3$Windows_X86_64 LibreOffice_project/382eef1f22670f7f4118c8c2dd222ec7ad009daf</Application>
  <AppVersion>15.0000</AppVersion>
  <Pages>7</Pages>
  <Words>1365</Words>
  <Characters>9293</Characters>
  <CharactersWithSpaces>11260</CharactersWithSpaces>
  <Paragraphs>97</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2024-05-31T09:56:00Z</dcterms:created>
  <dc:creator>Anja Prislan</dc:creator>
  <dc:description/>
  <dc:language>el-GR</dc:language>
  <cp:lastModifiedBy>ΚΥΡΙΑΚΗ ΔΗΜΗΤΡΙΑΔΟΥ</cp:lastModifiedBy>
  <cp:lastPrinted>2024-06-07T07:08:38Z</cp:lastPrinted>
  <dcterms:modified xsi:type="dcterms:W3CDTF">2024-06-06T07:58:00Z</dcterms:modified>
  <cp:revision>29</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fbe7ad735418532544d51f465c96780519a0be6f9d164772c7de591205728440</vt:lpwstr>
  </property>
</Properties>
</file>