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760" w:hanging="0"/>
        <w:jc w:val="both"/>
        <w:rPr>
          <w:b/>
          <w:b/>
          <w:bCs/>
          <w:u w:val="single"/>
          <w:lang w:val="en-US"/>
        </w:rPr>
      </w:pPr>
      <w:r>
        <w:rPr>
          <w:b/>
          <w:bCs/>
        </w:rPr>
        <w:t xml:space="preserve">                 </w:t>
      </w:r>
      <w:r>
        <w:rPr/>
        <w:drawing>
          <wp:inline distT="0" distB="0" distL="0" distR="0">
            <wp:extent cx="495935" cy="524510"/>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tretch>
                      <a:fillRect/>
                    </a:stretch>
                  </pic:blipFill>
                  <pic:spPr bwMode="auto">
                    <a:xfrm>
                      <a:off x="0" y="0"/>
                      <a:ext cx="495935" cy="524510"/>
                    </a:xfrm>
                    <a:prstGeom prst="rect">
                      <a:avLst/>
                    </a:prstGeom>
                  </pic:spPr>
                </pic:pic>
              </a:graphicData>
            </a:graphic>
          </wp:inline>
        </w:drawing>
      </w:r>
    </w:p>
    <w:tbl>
      <w:tblPr>
        <w:tblW w:w="8568" w:type="dxa"/>
        <w:jc w:val="left"/>
        <w:tblInd w:w="-106" w:type="dxa"/>
        <w:tblCellMar>
          <w:top w:w="0" w:type="dxa"/>
          <w:left w:w="108" w:type="dxa"/>
          <w:bottom w:w="0" w:type="dxa"/>
          <w:right w:w="108" w:type="dxa"/>
        </w:tblCellMar>
        <w:tblLook w:firstRow="0" w:noVBand="0" w:lastRow="0" w:firstColumn="0" w:lastColumn="0" w:noHBand="0" w:val="0000"/>
      </w:tblPr>
      <w:tblGrid>
        <w:gridCol w:w="5687"/>
        <w:gridCol w:w="2880"/>
      </w:tblGrid>
      <w:tr>
        <w:trPr>
          <w:trHeight w:val="1536" w:hRule="atLeast"/>
        </w:trPr>
        <w:tc>
          <w:tcPr>
            <w:tcW w:w="5687" w:type="dxa"/>
            <w:tcBorders/>
            <w:shd w:color="auto" w:fill="auto" w:val="clear"/>
          </w:tcPr>
          <w:p>
            <w:pPr>
              <w:pStyle w:val="Normal"/>
              <w:widowControl w:val="false"/>
              <w:ind w:right="-760" w:hanging="0"/>
              <w:rPr>
                <w:b/>
                <w:b/>
                <w:bCs/>
              </w:rPr>
            </w:pPr>
            <w:r>
              <w:rPr>
                <w:b/>
                <w:bCs/>
              </w:rPr>
              <w:t>ΕΛΛΗΝΙΚΗ ΔΗΜΟΚΡΑΤΙΑ</w:t>
            </w:r>
          </w:p>
          <w:p>
            <w:pPr>
              <w:pStyle w:val="Normal"/>
              <w:widowControl w:val="false"/>
              <w:ind w:right="-760" w:hanging="0"/>
              <w:rPr>
                <w:b/>
                <w:b/>
                <w:bCs/>
              </w:rPr>
            </w:pPr>
            <w:r>
              <w:rPr>
                <w:b/>
                <w:bCs/>
              </w:rPr>
              <w:t>ΠΕΡΙΦΕΡΕΙΑ ΚΕΝΤΡΙΚΗΣ ΜΑΚΕΔΟΝΙΑΣ</w:t>
            </w:r>
          </w:p>
          <w:p>
            <w:pPr>
              <w:pStyle w:val="Normal"/>
              <w:widowControl w:val="false"/>
              <w:ind w:right="-760" w:hanging="0"/>
              <w:rPr>
                <w:b/>
                <w:b/>
                <w:bCs/>
              </w:rPr>
            </w:pPr>
            <w:r>
              <w:rPr>
                <w:b/>
                <w:bCs/>
              </w:rPr>
              <w:t>ΓΡΑΦΕΙΟ ΑΝΤΙΠΕΡΙΦΕΡΕΙΑΡΧΗ ΥΓΕΙΑΣ</w:t>
            </w:r>
          </w:p>
        </w:tc>
        <w:tc>
          <w:tcPr>
            <w:tcW w:w="2880" w:type="dxa"/>
            <w:tcBorders/>
            <w:shd w:color="auto" w:fill="auto" w:val="clear"/>
          </w:tcPr>
          <w:p>
            <w:pPr>
              <w:pStyle w:val="Normal"/>
              <w:widowControl w:val="false"/>
              <w:snapToGrid w:val="false"/>
              <w:ind w:right="-760" w:hanging="0"/>
              <w:rPr/>
            </w:pPr>
            <w:r>
              <w:rPr/>
            </w:r>
          </w:p>
          <w:p>
            <w:pPr>
              <w:pStyle w:val="Normal"/>
              <w:widowControl w:val="false"/>
              <w:snapToGrid w:val="false"/>
              <w:ind w:right="-760" w:hanging="0"/>
              <w:rPr/>
            </w:pPr>
            <w:r>
              <w:rPr/>
              <w:t xml:space="preserve"> </w:t>
            </w:r>
            <w:r>
              <w:rPr/>
              <w:t>Θεσσαλονίκη   07-07-2023</w:t>
            </w:r>
          </w:p>
          <w:p>
            <w:pPr>
              <w:pStyle w:val="Normal"/>
              <w:widowControl w:val="false"/>
              <w:snapToGrid w:val="false"/>
              <w:ind w:right="-760" w:hanging="0"/>
              <w:rPr/>
            </w:pPr>
            <w:r>
              <w:rPr/>
            </w:r>
          </w:p>
        </w:tc>
      </w:tr>
    </w:tbl>
    <w:p>
      <w:pPr>
        <w:pStyle w:val="Normal"/>
        <w:ind w:right="-760" w:hanging="0"/>
        <w:jc w:val="both"/>
        <w:rPr>
          <w:u w:val="single"/>
        </w:rPr>
      </w:pPr>
      <w:r>
        <w:rPr>
          <w:u w:val="single"/>
        </w:rPr>
      </w:r>
    </w:p>
    <w:p>
      <w:pPr>
        <w:pStyle w:val="Normal"/>
        <w:ind w:right="-760" w:hanging="0"/>
        <w:jc w:val="center"/>
        <w:rPr>
          <w:b/>
          <w:b/>
          <w:bCs/>
          <w:sz w:val="32"/>
          <w:szCs w:val="32"/>
          <w:u w:val="single"/>
        </w:rPr>
      </w:pPr>
      <w:r>
        <w:rPr>
          <w:b/>
          <w:bCs/>
          <w:sz w:val="32"/>
          <w:szCs w:val="32"/>
          <w:u w:val="single"/>
        </w:rPr>
        <w:t>ΠΡΟΚΗΡΥΞΗ ΥΠΟΤΡΟΦΙΩΝ</w:t>
      </w:r>
    </w:p>
    <w:p>
      <w:pPr>
        <w:pStyle w:val="Normal"/>
        <w:ind w:right="-760" w:hanging="0"/>
        <w:jc w:val="both"/>
        <w:rPr/>
      </w:pPr>
      <w:r>
        <w:rPr/>
      </w:r>
    </w:p>
    <w:p>
      <w:pPr>
        <w:pStyle w:val="Normal"/>
        <w:ind w:right="-760" w:hanging="0"/>
        <w:jc w:val="both"/>
        <w:rPr/>
      </w:pPr>
      <w:r>
        <w:rPr>
          <w:b/>
          <w:bCs/>
        </w:rPr>
        <w:t xml:space="preserve">Η Περιφέρεια Κεντρικής Μακεδονίας </w:t>
      </w:r>
      <w:r>
        <w:rPr/>
        <w:t xml:space="preserve">για ακόμη μία χρονιά ανταποκρίνεται στην πρωτοβουλία των εκπαιδευτικών φορέων ΙΕΚ ΑΛΦΑ και </w:t>
      </w:r>
      <w:r>
        <w:rPr>
          <w:lang w:val="en-US"/>
        </w:rPr>
        <w:t>Mediterranean</w:t>
      </w:r>
      <w:r>
        <w:rPr/>
        <w:t xml:space="preserve"> </w:t>
      </w:r>
      <w:r>
        <w:rPr>
          <w:lang w:val="en-US"/>
        </w:rPr>
        <w:t>College</w:t>
      </w:r>
      <w:r>
        <w:rPr/>
        <w:t>, μέσω του θεσμού «Υποτροφίες στις Περιφέρειες» ακαδημαϊκού έτους 2023-2024, στο ευρύτερο πλάνο δράσεων Εταιρικής Κοινωνικής Ευθύνης των εκπαιδευτικών φορέων, ενισχύοντας το δικαίωμα όλων των νέων στην εκπαίδευση, με στόχο να ικανοποιηθούν οι ανάγκες για σπουδές νέων με επιδόσεις στο Λύκειο, που δεν έχουν την οικονομική δυνατότητα να σπουδάσουν.</w:t>
      </w:r>
    </w:p>
    <w:p>
      <w:pPr>
        <w:pStyle w:val="Normal"/>
        <w:ind w:right="-760" w:hanging="0"/>
        <w:jc w:val="both"/>
        <w:rPr>
          <w:b/>
          <w:b/>
          <w:bCs/>
        </w:rPr>
      </w:pPr>
      <w:r>
        <w:rPr>
          <w:b/>
          <w:bCs/>
        </w:rPr>
      </w:r>
    </w:p>
    <w:p>
      <w:pPr>
        <w:pStyle w:val="Normal"/>
        <w:ind w:right="-760" w:hanging="0"/>
        <w:jc w:val="both"/>
        <w:rPr/>
      </w:pPr>
      <w:r>
        <w:rPr/>
        <w:t xml:space="preserve">Θα χορηγηθούν </w:t>
      </w:r>
      <w:r>
        <w:rPr>
          <w:b/>
          <w:bCs/>
        </w:rPr>
        <w:t>εννέα</w:t>
      </w:r>
      <w:r>
        <w:rPr/>
        <w:t xml:space="preserve"> (</w:t>
      </w:r>
      <w:r>
        <w:rPr>
          <w:b/>
          <w:bCs/>
        </w:rPr>
        <w:t>9) υποτροφίες</w:t>
      </w:r>
      <w:r>
        <w:rPr/>
        <w:t xml:space="preserve"> στην Περιφέρεια Κεντρικής Μακεδονίας για το ακαδημαϊκό έτος 2023-2024 με κοινωνικοοικονομικά και ακαδημαϊκά κριτήρια (επίδοση στο Λύκειο) </w:t>
      </w:r>
      <w:r>
        <w:rPr>
          <w:b/>
          <w:bCs/>
          <w:u w:val="single"/>
        </w:rPr>
        <w:t>σε οποιαδήποτε ειδικότητα/πρόγραμμα σπουδών που ενδιαφέρονται οι δικαιούχοι, μεταξύ των ειδικοτήτων και των προγραμμάτων σπουδών που παρέχονται από τους εκπαιδευτικούς φορείς</w:t>
      </w:r>
      <w:r>
        <w:rPr>
          <w:b/>
          <w:bCs/>
        </w:rPr>
        <w:t>. Συγκεκριμένα, οι υποτροφίες περιλαμβάνουν</w:t>
      </w:r>
      <w:r>
        <w:rPr/>
        <w:t>:</w:t>
      </w:r>
    </w:p>
    <w:p>
      <w:pPr>
        <w:pStyle w:val="Normal"/>
        <w:ind w:right="-760" w:hanging="0"/>
        <w:jc w:val="both"/>
        <w:rPr/>
      </w:pPr>
      <w:r>
        <w:rPr/>
      </w:r>
    </w:p>
    <w:p>
      <w:pPr>
        <w:pStyle w:val="ListParagraph"/>
        <w:numPr>
          <w:ilvl w:val="0"/>
          <w:numId w:val="7"/>
        </w:numPr>
        <w:spacing w:before="0" w:after="0"/>
        <w:contextualSpacing/>
        <w:rPr>
          <w:rFonts w:ascii="Arial" w:hAnsi="Arial" w:cs="Arial"/>
          <w:b/>
          <w:b/>
          <w:sz w:val="28"/>
          <w:szCs w:val="28"/>
        </w:rPr>
      </w:pPr>
      <w:r>
        <w:rPr>
          <w:rFonts w:cs="Arial" w:ascii="Arial" w:hAnsi="Arial"/>
          <w:b/>
          <w:sz w:val="28"/>
          <w:szCs w:val="28"/>
          <w:lang w:val="en-US"/>
        </w:rPr>
        <w:t>MEDITERRANEAN</w:t>
      </w:r>
      <w:r>
        <w:rPr>
          <w:rFonts w:cs="Arial" w:ascii="Arial" w:hAnsi="Arial"/>
          <w:b/>
          <w:sz w:val="28"/>
          <w:szCs w:val="28"/>
        </w:rPr>
        <w:t xml:space="preserve"> </w:t>
      </w:r>
      <w:r>
        <w:rPr>
          <w:rFonts w:cs="Arial" w:ascii="Arial" w:hAnsi="Arial"/>
          <w:b/>
          <w:sz w:val="28"/>
          <w:szCs w:val="28"/>
          <w:lang w:val="en-US"/>
        </w:rPr>
        <w:t>COLLEGE</w:t>
      </w:r>
    </w:p>
    <w:p>
      <w:pPr>
        <w:pStyle w:val="Normal"/>
        <w:rPr>
          <w:rFonts w:ascii="Arial" w:hAnsi="Arial" w:cs="Arial"/>
          <w:b/>
          <w:b/>
          <w:sz w:val="12"/>
          <w:szCs w:val="12"/>
        </w:rPr>
      </w:pPr>
      <w:r>
        <w:rPr>
          <w:rFonts w:cs="Arial" w:ascii="Arial" w:hAnsi="Arial"/>
          <w:b/>
          <w:sz w:val="12"/>
          <w:szCs w:val="12"/>
        </w:rPr>
      </w:r>
    </w:p>
    <w:p>
      <w:pPr>
        <w:pStyle w:val="ListParagraph"/>
        <w:numPr>
          <w:ilvl w:val="0"/>
          <w:numId w:val="6"/>
        </w:numPr>
        <w:spacing w:lineRule="auto" w:line="240" w:before="0" w:after="0"/>
        <w:contextualSpacing/>
        <w:rPr>
          <w:rFonts w:ascii="Arial" w:hAnsi="Arial" w:cs="Arial"/>
          <w:sz w:val="24"/>
          <w:szCs w:val="24"/>
        </w:rPr>
      </w:pPr>
      <w:r>
        <w:rPr>
          <w:rFonts w:cs="Arial" w:ascii="Arial" w:hAnsi="Arial"/>
          <w:b/>
          <w:sz w:val="24"/>
          <w:szCs w:val="24"/>
        </w:rPr>
        <w:t xml:space="preserve">ΤΕΣΣΕΡΙΣ υποτροφίες διδάκτρων για το α’ έτος σπουδών, στα προγράμματα </w:t>
      </w:r>
      <w:r>
        <w:rPr>
          <w:rFonts w:cs="Arial" w:ascii="Arial" w:hAnsi="Arial"/>
          <w:b/>
          <w:sz w:val="24"/>
          <w:szCs w:val="24"/>
          <w:lang w:val="en-US"/>
        </w:rPr>
        <w:t>Bachelor</w:t>
      </w:r>
    </w:p>
    <w:p>
      <w:pPr>
        <w:pStyle w:val="ListParagraph"/>
        <w:spacing w:lineRule="auto" w:line="240" w:before="0" w:after="0"/>
        <w:rPr>
          <w:rFonts w:ascii="Arial" w:hAnsi="Arial" w:cs="Arial"/>
          <w:sz w:val="24"/>
          <w:szCs w:val="24"/>
        </w:rPr>
      </w:pPr>
      <w:r>
        <w:rPr>
          <w:rFonts w:cs="Arial" w:ascii="Arial" w:hAnsi="Arial"/>
          <w:sz w:val="24"/>
          <w:szCs w:val="24"/>
        </w:rPr>
        <w:t xml:space="preserve">Για τη συνέχιση των σπουδών με υποτροφία, οι υπότροφοι θα πρέπει να έχουν συνεχή φοίτηση και καλή επίδοση, με βαθμολογία έτους &gt;60%. Στις υποτροφίες δεν περιλαμβάνονται τα ετήσια </w:t>
      </w:r>
      <w:r>
        <w:rPr>
          <w:rFonts w:cs="Arial" w:ascii="Arial" w:hAnsi="Arial"/>
          <w:sz w:val="24"/>
          <w:szCs w:val="24"/>
          <w:lang w:val="en-US"/>
        </w:rPr>
        <w:t>fees</w:t>
      </w:r>
      <w:r>
        <w:rPr>
          <w:rFonts w:cs="Arial" w:ascii="Arial" w:hAnsi="Arial"/>
          <w:sz w:val="24"/>
          <w:szCs w:val="24"/>
        </w:rPr>
        <w:t xml:space="preserve"> προς το Βρετανικό Πανεπιστήμιο και τα τέλη έκδοσης πτυχίου/αποφοίτησης.</w:t>
      </w:r>
    </w:p>
    <w:p>
      <w:pPr>
        <w:pStyle w:val="ListParagraph"/>
        <w:numPr>
          <w:ilvl w:val="0"/>
          <w:numId w:val="7"/>
        </w:numPr>
        <w:spacing w:lineRule="auto" w:line="240" w:before="240" w:after="0"/>
        <w:contextualSpacing/>
        <w:rPr/>
      </w:pPr>
      <w:r>
        <w:rPr>
          <w:rFonts w:cs="Arial" w:ascii="Arial" w:hAnsi="Arial"/>
          <w:b/>
          <w:sz w:val="28"/>
          <w:szCs w:val="28"/>
        </w:rPr>
        <w:t>ΙΕΚ ΑΛΦΑ</w:t>
      </w:r>
    </w:p>
    <w:p>
      <w:pPr>
        <w:pStyle w:val="Normal"/>
        <w:rPr>
          <w:rFonts w:ascii="Arial" w:hAnsi="Arial" w:cs="Arial"/>
          <w:b/>
          <w:b/>
          <w:sz w:val="12"/>
          <w:szCs w:val="12"/>
          <w:lang w:val="en-US"/>
        </w:rPr>
      </w:pPr>
      <w:r>
        <w:rPr>
          <w:rFonts w:cs="Arial" w:ascii="Arial" w:hAnsi="Arial"/>
          <w:b/>
          <w:sz w:val="12"/>
          <w:szCs w:val="12"/>
          <w:lang w:val="en-US"/>
        </w:rPr>
      </w:r>
    </w:p>
    <w:p>
      <w:pPr>
        <w:pStyle w:val="ListParagraph"/>
        <w:numPr>
          <w:ilvl w:val="0"/>
          <w:numId w:val="6"/>
        </w:numPr>
        <w:spacing w:lineRule="auto" w:line="240" w:before="0" w:after="0"/>
        <w:contextualSpacing/>
        <w:rPr>
          <w:rFonts w:ascii="Arial" w:hAnsi="Arial" w:cs="Arial"/>
          <w:sz w:val="24"/>
          <w:szCs w:val="24"/>
        </w:rPr>
      </w:pPr>
      <w:r>
        <w:rPr>
          <w:rFonts w:cs="Arial" w:ascii="Arial" w:hAnsi="Arial"/>
          <w:b/>
          <w:sz w:val="24"/>
          <w:szCs w:val="24"/>
        </w:rPr>
        <w:t>ΤΕΣΣΕΡΙΣ ετήσιες υποτροφίες</w:t>
      </w:r>
      <w:r>
        <w:rPr>
          <w:rFonts w:cs="Arial" w:ascii="Arial" w:hAnsi="Arial"/>
          <w:sz w:val="24"/>
          <w:szCs w:val="24"/>
        </w:rPr>
        <w:t xml:space="preserve"> διδάκτρων</w:t>
      </w:r>
    </w:p>
    <w:p>
      <w:pPr>
        <w:pStyle w:val="ListParagraph"/>
        <w:numPr>
          <w:ilvl w:val="0"/>
          <w:numId w:val="6"/>
        </w:numPr>
        <w:spacing w:lineRule="auto" w:line="240" w:before="0" w:after="0"/>
        <w:contextualSpacing/>
        <w:rPr>
          <w:rFonts w:ascii="Arial" w:hAnsi="Arial" w:cs="Arial"/>
          <w:sz w:val="24"/>
          <w:szCs w:val="24"/>
        </w:rPr>
      </w:pPr>
      <w:r>
        <w:rPr>
          <w:rFonts w:cs="Arial" w:ascii="Arial" w:hAnsi="Arial"/>
          <w:b/>
          <w:sz w:val="24"/>
          <w:szCs w:val="24"/>
        </w:rPr>
        <w:t>ΜΙΑ πλήρης υποτροφία</w:t>
      </w:r>
      <w:r>
        <w:rPr>
          <w:rFonts w:cs="Arial" w:ascii="Arial" w:hAnsi="Arial"/>
          <w:sz w:val="24"/>
          <w:szCs w:val="24"/>
        </w:rPr>
        <w:t xml:space="preserve"> διδάκτρων</w:t>
      </w:r>
    </w:p>
    <w:p>
      <w:pPr>
        <w:pStyle w:val="Normal"/>
        <w:rPr>
          <w:rFonts w:ascii="Arial" w:hAnsi="Arial" w:cs="Arial"/>
          <w:b/>
          <w:b/>
          <w:sz w:val="28"/>
          <w:szCs w:val="28"/>
        </w:rPr>
      </w:pPr>
      <w:r>
        <w:rPr>
          <w:rFonts w:cs="Arial" w:ascii="Arial" w:hAnsi="Arial"/>
          <w:b/>
          <w:sz w:val="28"/>
          <w:szCs w:val="28"/>
        </w:rPr>
      </w:r>
    </w:p>
    <w:p>
      <w:pPr>
        <w:pStyle w:val="Normal"/>
        <w:ind w:right="-760" w:hanging="0"/>
        <w:jc w:val="center"/>
        <w:rPr/>
      </w:pPr>
      <w:r>
        <w:rPr>
          <w:b/>
          <w:bCs/>
          <w:u w:val="single"/>
        </w:rPr>
        <w:t xml:space="preserve">ΙΙ.   </w:t>
      </w:r>
      <w:r>
        <w:rPr>
          <w:b/>
          <w:bCs/>
          <w:u w:val="single"/>
          <w:lang w:val="en-US"/>
        </w:rPr>
        <w:t>O</w:t>
      </w:r>
      <w:r>
        <w:rPr>
          <w:b/>
          <w:bCs/>
          <w:u w:val="single"/>
        </w:rPr>
        <w:t>ΡΟΙ &amp; ΠΡΟΫΠΟΘΕΣΕΙΣ</w:t>
      </w:r>
    </w:p>
    <w:p>
      <w:pPr>
        <w:pStyle w:val="Normal"/>
        <w:ind w:right="-760" w:hanging="0"/>
        <w:jc w:val="center"/>
        <w:rPr>
          <w:b/>
          <w:b/>
          <w:bCs/>
          <w:u w:val="single"/>
        </w:rPr>
      </w:pPr>
      <w:r>
        <w:rPr>
          <w:b/>
          <w:bCs/>
          <w:u w:val="single"/>
        </w:rPr>
      </w:r>
    </w:p>
    <w:p>
      <w:pPr>
        <w:pStyle w:val="ListParagraph"/>
        <w:numPr>
          <w:ilvl w:val="0"/>
          <w:numId w:val="2"/>
        </w:numPr>
        <w:spacing w:lineRule="auto" w:line="240"/>
        <w:ind w:left="0" w:right="-760" w:hanging="0"/>
        <w:rPr>
          <w:rFonts w:ascii="Times New Roman" w:hAnsi="Times New Roman" w:cs="Times New Roman"/>
          <w:b/>
          <w:b/>
          <w:bCs/>
          <w:sz w:val="24"/>
          <w:szCs w:val="24"/>
          <w:u w:val="single"/>
        </w:rPr>
      </w:pPr>
      <w:r>
        <w:rPr>
          <w:rFonts w:cs="Times New Roman" w:ascii="Times New Roman" w:hAnsi="Times New Roman"/>
          <w:sz w:val="24"/>
          <w:szCs w:val="24"/>
        </w:rPr>
        <w:t>Οι υποτροφίες αφορούν αποκλειστικά στο ακαδημαϊκό έτος 2023-2024.</w:t>
      </w:r>
    </w:p>
    <w:p>
      <w:pPr>
        <w:pStyle w:val="ListParagraph"/>
        <w:numPr>
          <w:ilvl w:val="0"/>
          <w:numId w:val="2"/>
        </w:numPr>
        <w:spacing w:lineRule="auto" w:line="240"/>
        <w:ind w:left="0" w:right="-760" w:hanging="0"/>
        <w:jc w:val="both"/>
        <w:rPr>
          <w:rFonts w:ascii="Times New Roman" w:hAnsi="Times New Roman" w:cs="Times New Roman"/>
          <w:b/>
          <w:b/>
          <w:bCs/>
          <w:sz w:val="24"/>
          <w:szCs w:val="24"/>
          <w:u w:val="single"/>
        </w:rPr>
      </w:pPr>
      <w:r>
        <w:rPr>
          <w:rFonts w:cs="Times New Roman" w:ascii="Times New Roman" w:hAnsi="Times New Roman"/>
          <w:sz w:val="24"/>
          <w:szCs w:val="24"/>
        </w:rPr>
        <w:t xml:space="preserve">Οι δικαιούχοι μπορούν να επιλέξουν οποιαδήποτε ειδικότητα/πρόγραμμα σπουδών τους ενδιαφέρει, μεταξύ των ειδικοτήτων και των προγραμμάτων σπουδών που τους παρέχονται από τους φορείς: ΙΕΚ ΑΛΦΑ και </w:t>
      </w:r>
      <w:r>
        <w:rPr>
          <w:rFonts w:cs="Times New Roman" w:ascii="Times New Roman" w:hAnsi="Times New Roman"/>
          <w:sz w:val="24"/>
          <w:szCs w:val="24"/>
          <w:lang w:val="en-US"/>
        </w:rPr>
        <w:t>Mediterranean</w:t>
      </w:r>
      <w:r>
        <w:rPr>
          <w:rFonts w:cs="Times New Roman" w:ascii="Times New Roman" w:hAnsi="Times New Roman"/>
          <w:sz w:val="24"/>
          <w:szCs w:val="24"/>
        </w:rPr>
        <w:t xml:space="preserve"> </w:t>
      </w:r>
      <w:r>
        <w:rPr>
          <w:rFonts w:cs="Times New Roman" w:ascii="Times New Roman" w:hAnsi="Times New Roman"/>
          <w:sz w:val="24"/>
          <w:szCs w:val="24"/>
          <w:lang w:val="en-US"/>
        </w:rPr>
        <w:t>College</w:t>
      </w:r>
      <w:r>
        <w:rPr>
          <w:rFonts w:cs="Times New Roman" w:ascii="Times New Roman" w:hAnsi="Times New Roman"/>
          <w:sz w:val="24"/>
          <w:szCs w:val="24"/>
        </w:rPr>
        <w:t>.</w:t>
      </w:r>
    </w:p>
    <w:p>
      <w:pPr>
        <w:pStyle w:val="ListParagraph"/>
        <w:numPr>
          <w:ilvl w:val="0"/>
          <w:numId w:val="2"/>
        </w:numPr>
        <w:spacing w:lineRule="auto" w:line="240"/>
        <w:ind w:left="0" w:right="-760" w:hanging="0"/>
        <w:jc w:val="both"/>
        <w:rPr>
          <w:rFonts w:ascii="Times New Roman" w:hAnsi="Times New Roman" w:cs="Times New Roman"/>
          <w:b/>
          <w:b/>
          <w:bCs/>
          <w:sz w:val="24"/>
          <w:szCs w:val="24"/>
          <w:u w:val="single"/>
        </w:rPr>
      </w:pPr>
      <w:r>
        <w:rPr>
          <w:rFonts w:cs="Times New Roman" w:ascii="Times New Roman" w:hAnsi="Times New Roman"/>
          <w:sz w:val="24"/>
          <w:szCs w:val="24"/>
        </w:rPr>
        <w:t>Από τη διαδικασία αξιολόγησης και απόδοσης υποτροφιών εξαιρούνται ήδη εγγεγραμμένοι ή/ και ενεργοί σπουδαστές στους προαναφερθέντες εκπαιδευτικούς φορείς.</w:t>
      </w:r>
    </w:p>
    <w:p>
      <w:pPr>
        <w:pStyle w:val="ListParagraph"/>
        <w:numPr>
          <w:ilvl w:val="0"/>
          <w:numId w:val="2"/>
        </w:numPr>
        <w:spacing w:lineRule="auto" w:line="240"/>
        <w:ind w:left="0" w:right="-760" w:hanging="0"/>
        <w:jc w:val="both"/>
        <w:rPr>
          <w:rFonts w:ascii="Times New Roman" w:hAnsi="Times New Roman" w:cs="Times New Roman"/>
          <w:sz w:val="24"/>
          <w:szCs w:val="24"/>
        </w:rPr>
      </w:pPr>
      <w:r>
        <w:rPr>
          <w:rFonts w:cs="Times New Roman" w:ascii="Times New Roman" w:hAnsi="Times New Roman"/>
          <w:sz w:val="24"/>
          <w:szCs w:val="24"/>
        </w:rPr>
        <w:t>Οι δικαιούχοι μπορούν να επιλέξουν να σπουδάσουν σε οποιοδήποτε παράρτημα των εκπαιδευτικών φορέων τους εξυπηρετεί, σε Αθήνα, Πειραιά, Γλυφάδα ή Θεσσαλονίκη</w:t>
      </w:r>
    </w:p>
    <w:p>
      <w:pPr>
        <w:pStyle w:val="ListParagraph"/>
        <w:numPr>
          <w:ilvl w:val="0"/>
          <w:numId w:val="2"/>
        </w:numPr>
        <w:spacing w:lineRule="auto" w:line="240"/>
        <w:ind w:left="0" w:right="-760" w:hanging="0"/>
        <w:jc w:val="both"/>
        <w:rPr>
          <w:rFonts w:ascii="Times New Roman" w:hAnsi="Times New Roman" w:cs="Times New Roman"/>
          <w:sz w:val="24"/>
          <w:szCs w:val="24"/>
        </w:rPr>
      </w:pPr>
      <w:r>
        <w:rPr/>
        <w:t>Από τις υποτροφίες για το ΙΕΚ ΑΛΦΑ, τέσσερις αφορούν στο 1</w:t>
      </w:r>
      <w:r>
        <w:rPr>
          <w:vertAlign w:val="superscript"/>
        </w:rPr>
        <w:t>ο</w:t>
      </w:r>
      <w:r>
        <w:rPr/>
        <w:t xml:space="preserve"> έτος σπουδών και μία αφορά σε πλήρη, διετή φοίτηση.  </w:t>
      </w:r>
    </w:p>
    <w:p>
      <w:pPr>
        <w:pStyle w:val="ListParagraph"/>
        <w:numPr>
          <w:ilvl w:val="0"/>
          <w:numId w:val="2"/>
        </w:numPr>
        <w:spacing w:lineRule="auto" w:line="240"/>
        <w:ind w:left="0" w:right="-760" w:hanging="0"/>
        <w:jc w:val="both"/>
        <w:rPr>
          <w:rFonts w:ascii="Times New Roman" w:hAnsi="Times New Roman" w:cs="Times New Roman"/>
          <w:sz w:val="24"/>
          <w:szCs w:val="24"/>
        </w:rPr>
      </w:pPr>
      <w:r>
        <w:rPr/>
        <w:t xml:space="preserve">Οι υποτροφίες στο </w:t>
      </w:r>
      <w:r>
        <w:rPr>
          <w:lang w:val="en-US"/>
        </w:rPr>
        <w:t>Mediterranean</w:t>
      </w:r>
      <w:r>
        <w:rPr/>
        <w:t xml:space="preserve"> </w:t>
      </w:r>
      <w:r>
        <w:rPr>
          <w:lang w:val="en-US"/>
        </w:rPr>
        <w:t>College</w:t>
      </w:r>
      <w:r>
        <w:rPr/>
        <w:t xml:space="preserve"> αφορούν στο 1</w:t>
      </w:r>
      <w:r>
        <w:rPr>
          <w:vertAlign w:val="superscript"/>
        </w:rPr>
        <w:t>ο</w:t>
      </w:r>
      <w:r>
        <w:rPr/>
        <w:t xml:space="preserve"> έτος σπουδών και για τη συνέχιση με υποτροφία, ο/η υπότροφος θα πρέπει να έχει συνεχή φοίτηση και ετήσια βαθμολογία πάνω από 60%.</w:t>
      </w:r>
    </w:p>
    <w:p>
      <w:pPr>
        <w:pStyle w:val="ListParagraph"/>
        <w:numPr>
          <w:ilvl w:val="0"/>
          <w:numId w:val="2"/>
        </w:numPr>
        <w:spacing w:lineRule="auto" w:line="240"/>
        <w:ind w:left="0" w:right="-760" w:hanging="0"/>
        <w:jc w:val="both"/>
        <w:rPr>
          <w:rFonts w:ascii="Times New Roman" w:hAnsi="Times New Roman" w:cs="Times New Roman"/>
          <w:sz w:val="24"/>
          <w:szCs w:val="24"/>
        </w:rPr>
      </w:pPr>
      <w:r>
        <w:rPr/>
        <w:t xml:space="preserve">Για το </w:t>
      </w:r>
      <w:r>
        <w:rPr>
          <w:lang w:val="en-US"/>
        </w:rPr>
        <w:t>Mediterranean</w:t>
      </w:r>
      <w:r>
        <w:rPr/>
        <w:t xml:space="preserve"> </w:t>
      </w:r>
      <w:r>
        <w:rPr>
          <w:lang w:val="en-US"/>
        </w:rPr>
        <w:t>College</w:t>
      </w:r>
      <w:r>
        <w:rPr/>
        <w:t>, τ</w:t>
      </w:r>
      <w:r>
        <w:rPr>
          <w:lang w:val="en-US"/>
        </w:rPr>
        <w:t>o</w:t>
      </w:r>
      <w:r>
        <w:rPr/>
        <w:t xml:space="preserve"> ετήσιο κόστος των </w:t>
      </w:r>
      <w:r>
        <w:rPr>
          <w:lang w:val="en-US"/>
        </w:rPr>
        <w:t>fees</w:t>
      </w:r>
      <w:r>
        <w:rPr/>
        <w:t xml:space="preserve"> του συνεργαζόμενου βρετανικού πανεπιστημίου/φορέα πιστοποίησης, καθώς και τα τέλη έκδοσης πτυχίου/αποφοίτησης καλύπτονται αποκλειστικά από τον/την υπότροφο.</w:t>
      </w:r>
    </w:p>
    <w:p>
      <w:pPr>
        <w:pStyle w:val="ListParagraph"/>
        <w:numPr>
          <w:ilvl w:val="0"/>
          <w:numId w:val="2"/>
        </w:numPr>
        <w:spacing w:lineRule="auto" w:line="240"/>
        <w:ind w:left="0" w:right="-760" w:hanging="0"/>
        <w:jc w:val="both"/>
        <w:rPr>
          <w:rFonts w:ascii="Times New Roman" w:hAnsi="Times New Roman" w:cs="Times New Roman"/>
          <w:sz w:val="24"/>
          <w:szCs w:val="24"/>
        </w:rPr>
      </w:pPr>
      <w:r>
        <w:rPr/>
        <w:t xml:space="preserve">Το </w:t>
      </w:r>
      <w:r>
        <w:rPr>
          <w:lang w:val="en-US"/>
        </w:rPr>
        <w:t>Mediterranean</w:t>
      </w:r>
      <w:r>
        <w:rPr/>
        <w:t xml:space="preserve"> </w:t>
      </w:r>
      <w:r>
        <w:rPr>
          <w:lang w:val="en-US"/>
        </w:rPr>
        <w:t>College</w:t>
      </w:r>
      <w:r>
        <w:rPr/>
        <w:t xml:space="preserve"> καλύπτει το τέλος αίτησης στα προγράμματα.</w:t>
      </w:r>
    </w:p>
    <w:p>
      <w:pPr>
        <w:pStyle w:val="ListParagraph"/>
        <w:numPr>
          <w:ilvl w:val="0"/>
          <w:numId w:val="2"/>
        </w:numPr>
        <w:spacing w:lineRule="auto" w:line="240"/>
        <w:ind w:left="0" w:right="-760" w:hanging="0"/>
        <w:jc w:val="both"/>
        <w:rPr>
          <w:rFonts w:ascii="Times New Roman" w:hAnsi="Times New Roman" w:cs="Times New Roman"/>
          <w:sz w:val="24"/>
          <w:szCs w:val="24"/>
        </w:rPr>
      </w:pPr>
      <w:r>
        <w:rPr/>
        <w:t>Για την κατοχύρωση των υποτροφιών, οι υποψήφιοι πρέπει να πληρούν τις ελάχιστες προϋποθέσεις εισαγωγής τους στο πρόγραμμα σπουδών της επιλογής τους.</w:t>
      </w:r>
    </w:p>
    <w:p>
      <w:pPr>
        <w:pStyle w:val="ListParagraph"/>
        <w:numPr>
          <w:ilvl w:val="0"/>
          <w:numId w:val="2"/>
        </w:numPr>
        <w:spacing w:lineRule="auto" w:line="240"/>
        <w:ind w:left="0" w:right="-760" w:hanging="0"/>
        <w:jc w:val="both"/>
        <w:rPr>
          <w:rFonts w:ascii="Times New Roman" w:hAnsi="Times New Roman" w:cs="Times New Roman"/>
          <w:sz w:val="24"/>
          <w:szCs w:val="24"/>
        </w:rPr>
      </w:pPr>
      <w:r>
        <w:rPr/>
        <w:t>Οι προαναφερθέντες εκπαιδευτικοί φορείς διατηρούν το δικαίωμα να μην προσφέρουν κάποιο πρόγραμμα σπουδών, σε περίπτωση χαμηλής συμμετοχής. Σε αυτήν την περίπτωση, ο/η υπότροφος μπορεί να επιλέξει κάποιο άλλο πρόγραμμα.</w:t>
      </w:r>
    </w:p>
    <w:p>
      <w:pPr>
        <w:pStyle w:val="Normal"/>
        <w:ind w:right="-760" w:hanging="0"/>
        <w:jc w:val="center"/>
        <w:rPr>
          <w:b/>
          <w:b/>
          <w:bCs/>
          <w:u w:val="single"/>
        </w:rPr>
      </w:pPr>
      <w:r>
        <w:rPr>
          <w:b/>
          <w:bCs/>
          <w:u w:val="single"/>
        </w:rPr>
        <w:t>ΙΙΙ. ΔΙΚΑΙΟΛΟΓΗΤΙΚΑ</w:t>
      </w:r>
    </w:p>
    <w:p>
      <w:pPr>
        <w:pStyle w:val="Normal"/>
        <w:ind w:right="-760" w:hanging="0"/>
        <w:jc w:val="both"/>
        <w:rPr/>
      </w:pPr>
      <w:r>
        <w:rPr/>
      </w:r>
    </w:p>
    <w:p>
      <w:pPr>
        <w:pStyle w:val="Normal"/>
        <w:ind w:right="-760" w:hanging="0"/>
        <w:jc w:val="both"/>
        <w:rPr/>
      </w:pPr>
      <w:r>
        <w:rPr/>
        <w:t>Καλούνται οι ενδιαφερόμενοι να υποβάλουν την αίτηση με τα σχετικά δικαιολογητικά ηλεκτρονικά στις Δ/νσεις Δημόσιας Υγείας και Κοινωνικής Μέριμνας των Περιφερειακών Ενοτήτων και της Μητροπολιτικής Ενότητας Θεσσαλονίκης από την</w:t>
      </w:r>
      <w:r>
        <w:rPr>
          <w:u w:val="single"/>
        </w:rPr>
        <w:t xml:space="preserve"> </w:t>
      </w:r>
      <w:r>
        <w:rPr>
          <w:b/>
          <w:bCs/>
          <w:u w:val="single"/>
        </w:rPr>
        <w:t xml:space="preserve">Τρίτη 11 </w:t>
      </w:r>
      <w:r>
        <w:rPr>
          <w:b/>
          <w:bCs/>
          <w:u w:val="single"/>
          <w:lang w:val="en-US"/>
        </w:rPr>
        <w:t>I</w:t>
      </w:r>
      <w:r>
        <w:rPr>
          <w:b/>
          <w:bCs/>
          <w:u w:val="single"/>
        </w:rPr>
        <w:t>ουλίου έως και την Τρίτη 5 Σεπτεμβρίου  στις 15.00 μ.μ., και συγκεκριμένα:</w:t>
      </w:r>
    </w:p>
    <w:p>
      <w:pPr>
        <w:pStyle w:val="Normal"/>
        <w:ind w:right="-760" w:hanging="0"/>
        <w:jc w:val="both"/>
        <w:rPr>
          <w:b/>
          <w:b/>
          <w:bCs/>
        </w:rPr>
      </w:pPr>
      <w:r>
        <w:rPr>
          <w:b/>
          <w:bCs/>
        </w:rPr>
      </w:r>
    </w:p>
    <w:p>
      <w:pPr>
        <w:pStyle w:val="Normal"/>
        <w:ind w:right="-760" w:hanging="0"/>
        <w:jc w:val="both"/>
        <w:rPr/>
      </w:pPr>
      <w:r>
        <w:rPr>
          <w:b/>
          <w:bCs/>
          <w:u w:val="single"/>
        </w:rPr>
        <w:t>Για την Περιφερειακή Ενότητα Ημαθίας:</w:t>
      </w:r>
      <w:r>
        <w:rPr/>
        <w:t xml:space="preserve"> στη Δ/νση Δημόσιας Υγείας &amp; Κοινωνικής Μέριμνας, στο </w:t>
      </w:r>
      <w:r>
        <w:rPr>
          <w:lang w:val="en-US"/>
        </w:rPr>
        <w:t>e</w:t>
      </w:r>
      <w:r>
        <w:rPr/>
        <w:t>-</w:t>
      </w:r>
      <w:r>
        <w:rPr>
          <w:lang w:val="en-US"/>
        </w:rPr>
        <w:t>mail</w:t>
      </w:r>
      <w:r>
        <w:rPr/>
        <w:t xml:space="preserve">:   </w:t>
      </w:r>
      <w:hyperlink r:id="rId3">
        <w:r>
          <w:rPr>
            <w:rStyle w:val="ListLabel85"/>
            <w:lang w:val="en-US"/>
          </w:rPr>
          <w:t>dygeias</w:t>
        </w:r>
        <w:r>
          <w:rPr>
            <w:rStyle w:val="ListLabel85"/>
          </w:rPr>
          <w:t>@</w:t>
        </w:r>
        <w:r>
          <w:rPr>
            <w:rStyle w:val="ListLabel85"/>
            <w:lang w:val="en-US"/>
          </w:rPr>
          <w:t>imathia</w:t>
        </w:r>
        <w:r>
          <w:rPr>
            <w:rStyle w:val="ListLabel85"/>
          </w:rPr>
          <w:t>.</w:t>
        </w:r>
        <w:r>
          <w:rPr>
            <w:rStyle w:val="ListLabel85"/>
            <w:lang w:val="en-US"/>
          </w:rPr>
          <w:t>pkm</w:t>
        </w:r>
        <w:r>
          <w:rPr>
            <w:rStyle w:val="ListLabel85"/>
          </w:rPr>
          <w:t>.</w:t>
        </w:r>
        <w:r>
          <w:rPr>
            <w:rStyle w:val="ListLabel85"/>
            <w:lang w:val="en-US"/>
          </w:rPr>
          <w:t>gov</w:t>
        </w:r>
        <w:r>
          <w:rPr>
            <w:rStyle w:val="ListLabel85"/>
          </w:rPr>
          <w:t>.</w:t>
        </w:r>
        <w:r>
          <w:rPr>
            <w:rStyle w:val="ListLabel85"/>
            <w:lang w:val="en-US"/>
          </w:rPr>
          <w:t>gr</w:t>
        </w:r>
      </w:hyperlink>
    </w:p>
    <w:p>
      <w:pPr>
        <w:pStyle w:val="Normal"/>
        <w:ind w:right="-760" w:hanging="0"/>
        <w:jc w:val="both"/>
        <w:rPr/>
      </w:pPr>
      <w:r>
        <w:rPr/>
      </w:r>
    </w:p>
    <w:p>
      <w:pPr>
        <w:pStyle w:val="Normal"/>
        <w:ind w:right="-760" w:hanging="0"/>
        <w:jc w:val="both"/>
        <w:rPr/>
      </w:pPr>
      <w:r>
        <w:rPr>
          <w:b/>
          <w:bCs/>
          <w:u w:val="single"/>
        </w:rPr>
        <w:t>Για την Μητροπολιτική Ενότητα Θεσσαλονίκης:</w:t>
      </w:r>
      <w:r>
        <w:rPr/>
        <w:t xml:space="preserve"> στη Δ/νση Δημόσιας Υγείας &amp; Κοινωνικής Μέριμνας Μ.Ε.Θ. στο </w:t>
      </w:r>
      <w:r>
        <w:rPr>
          <w:lang w:val="en-US"/>
        </w:rPr>
        <w:t>e</w:t>
      </w:r>
      <w:r>
        <w:rPr/>
        <w:t>-</w:t>
      </w:r>
      <w:r>
        <w:rPr>
          <w:lang w:val="en-US"/>
        </w:rPr>
        <w:t>mail</w:t>
      </w:r>
      <w:r>
        <w:rPr/>
        <w:t xml:space="preserve">:  </w:t>
      </w:r>
      <w:hyperlink r:id="rId4">
        <w:r>
          <w:rPr>
            <w:rStyle w:val="ListLabel85"/>
            <w:lang w:val="en-US"/>
          </w:rPr>
          <w:t>dykm</w:t>
        </w:r>
        <w:r>
          <w:rPr>
            <w:rStyle w:val="ListLabel85"/>
          </w:rPr>
          <w:t>@</w:t>
        </w:r>
        <w:r>
          <w:rPr>
            <w:rStyle w:val="ListLabel85"/>
            <w:lang w:val="en-US"/>
          </w:rPr>
          <w:t>pkm</w:t>
        </w:r>
        <w:r>
          <w:rPr>
            <w:rStyle w:val="ListLabel85"/>
          </w:rPr>
          <w:t>.</w:t>
        </w:r>
        <w:r>
          <w:rPr>
            <w:rStyle w:val="ListLabel85"/>
            <w:lang w:val="en-US"/>
          </w:rPr>
          <w:t>gov</w:t>
        </w:r>
        <w:r>
          <w:rPr>
            <w:rStyle w:val="ListLabel85"/>
          </w:rPr>
          <w:t>.</w:t>
        </w:r>
        <w:r>
          <w:rPr>
            <w:rStyle w:val="ListLabel85"/>
            <w:lang w:val="en-US"/>
          </w:rPr>
          <w:t>gr</w:t>
        </w:r>
      </w:hyperlink>
      <w:r>
        <w:rPr/>
        <w:t xml:space="preserve"> </w:t>
      </w:r>
    </w:p>
    <w:p>
      <w:pPr>
        <w:pStyle w:val="Normal"/>
        <w:ind w:right="-760" w:hanging="0"/>
        <w:jc w:val="both"/>
        <w:rPr/>
      </w:pPr>
      <w:r>
        <w:rPr/>
      </w:r>
    </w:p>
    <w:p>
      <w:pPr>
        <w:pStyle w:val="Normal"/>
        <w:ind w:right="-760" w:hanging="0"/>
        <w:jc w:val="both"/>
        <w:rPr/>
      </w:pPr>
      <w:r>
        <w:rPr>
          <w:b/>
          <w:bCs/>
          <w:u w:val="single"/>
        </w:rPr>
        <w:t>Για την Περιφερειακή Ενότητα Κιλκίς:</w:t>
      </w:r>
      <w:r>
        <w:rPr/>
        <w:t xml:space="preserve"> στη Δ/νση Δημόσιας Υγείας &amp; Κοινωνικής Μέριμνας, στο </w:t>
      </w:r>
      <w:r>
        <w:rPr>
          <w:lang w:val="en-US"/>
        </w:rPr>
        <w:t>e</w:t>
      </w:r>
      <w:r>
        <w:rPr/>
        <w:t>-</w:t>
      </w:r>
      <w:r>
        <w:rPr>
          <w:lang w:val="en-US"/>
        </w:rPr>
        <w:t>mail</w:t>
      </w:r>
      <w:r>
        <w:rPr/>
        <w:t xml:space="preserve">: </w:t>
      </w:r>
      <w:hyperlink r:id="rId5">
        <w:r>
          <w:rPr>
            <w:rStyle w:val="ListLabel86"/>
          </w:rPr>
          <w:t>ygeias_pronoias@kilkis.pkm.gov.gr</w:t>
        </w:r>
      </w:hyperlink>
    </w:p>
    <w:p>
      <w:pPr>
        <w:pStyle w:val="Normal"/>
        <w:ind w:right="-760" w:hanging="0"/>
        <w:jc w:val="both"/>
        <w:rPr/>
      </w:pPr>
      <w:r>
        <w:rPr/>
      </w:r>
    </w:p>
    <w:p>
      <w:pPr>
        <w:pStyle w:val="Normal"/>
        <w:ind w:right="-760" w:hanging="0"/>
        <w:jc w:val="both"/>
        <w:rPr/>
      </w:pPr>
      <w:r>
        <w:rPr>
          <w:b/>
          <w:bCs/>
          <w:u w:val="single"/>
        </w:rPr>
        <w:t>Για την Περιφερειακή Ενότητα Πέλλας:</w:t>
      </w:r>
      <w:r>
        <w:rPr/>
        <w:t xml:space="preserve"> στη Δ/νση Δημόσιας Υγείας &amp; Κοινωνικής Μέριμνας, στο </w:t>
      </w:r>
      <w:r>
        <w:rPr>
          <w:lang w:val="en-US"/>
        </w:rPr>
        <w:t>e</w:t>
      </w:r>
      <w:r>
        <w:rPr/>
        <w:t>-</w:t>
      </w:r>
      <w:r>
        <w:rPr>
          <w:lang w:val="en-US"/>
        </w:rPr>
        <w:t>mail</w:t>
      </w:r>
      <w:r>
        <w:rPr/>
        <w:t xml:space="preserve">: </w:t>
      </w:r>
      <w:hyperlink r:id="rId6">
        <w:r>
          <w:rPr>
            <w:rStyle w:val="ListLabel86"/>
            <w:lang w:val="en-US"/>
          </w:rPr>
          <w:t>ddygeiaspellas</w:t>
        </w:r>
        <w:r>
          <w:rPr>
            <w:rStyle w:val="ListLabel86"/>
          </w:rPr>
          <w:t>@pella.gr</w:t>
        </w:r>
      </w:hyperlink>
    </w:p>
    <w:p>
      <w:pPr>
        <w:pStyle w:val="Normal"/>
        <w:ind w:right="-760" w:hanging="0"/>
        <w:jc w:val="both"/>
        <w:rPr/>
      </w:pPr>
      <w:r>
        <w:rPr/>
      </w:r>
    </w:p>
    <w:p>
      <w:pPr>
        <w:pStyle w:val="Normal"/>
        <w:ind w:right="-760" w:hanging="0"/>
        <w:jc w:val="both"/>
        <w:rPr/>
      </w:pPr>
      <w:r>
        <w:rPr>
          <w:b/>
          <w:bCs/>
          <w:u w:val="single"/>
        </w:rPr>
        <w:t>Για την Περιφερειακή Ενότητα Πιερίας:</w:t>
      </w:r>
      <w:r>
        <w:rPr/>
        <w:t xml:space="preserve"> στη Δ/νση Δημόσιας Υγείας &amp; Κοινωνικής Μέριμνας, στο </w:t>
      </w:r>
      <w:r>
        <w:rPr>
          <w:lang w:val="en-US"/>
        </w:rPr>
        <w:t>e</w:t>
      </w:r>
      <w:r>
        <w:rPr/>
        <w:t>-</w:t>
      </w:r>
      <w:r>
        <w:rPr>
          <w:lang w:val="en-US"/>
        </w:rPr>
        <w:t>mail</w:t>
      </w:r>
      <w:r>
        <w:rPr/>
        <w:t xml:space="preserve">: </w:t>
      </w:r>
      <w:hyperlink r:id="rId7">
        <w:r>
          <w:rPr>
            <w:rStyle w:val="ListLabel86"/>
          </w:rPr>
          <w:t>ygeias@pieria.pkm.gov.gr</w:t>
        </w:r>
      </w:hyperlink>
    </w:p>
    <w:p>
      <w:pPr>
        <w:pStyle w:val="Normal"/>
        <w:ind w:right="-760" w:hanging="0"/>
        <w:jc w:val="both"/>
        <w:rPr/>
      </w:pPr>
      <w:r>
        <w:rPr/>
      </w:r>
    </w:p>
    <w:p>
      <w:pPr>
        <w:pStyle w:val="Normal"/>
        <w:ind w:right="-760" w:hanging="0"/>
        <w:jc w:val="both"/>
        <w:rPr/>
      </w:pPr>
      <w:r>
        <w:rPr>
          <w:b/>
          <w:bCs/>
          <w:u w:val="single"/>
        </w:rPr>
        <w:t>Για την Περιφερειακή Ενότητα Σερρών:</w:t>
      </w:r>
      <w:r>
        <w:rPr/>
        <w:t xml:space="preserve"> στη Δ/νση Δημόσιας Υγείας &amp; Κοινωνικής Μέριμνας, στο </w:t>
      </w:r>
      <w:r>
        <w:rPr>
          <w:lang w:val="en-US"/>
        </w:rPr>
        <w:t>e</w:t>
      </w:r>
      <w:r>
        <w:rPr/>
        <w:t>-</w:t>
      </w:r>
      <w:r>
        <w:rPr>
          <w:lang w:val="en-US"/>
        </w:rPr>
        <w:t>mail</w:t>
      </w:r>
      <w:r>
        <w:rPr/>
        <w:t xml:space="preserve">: </w:t>
      </w:r>
      <w:hyperlink r:id="rId8">
        <w:r>
          <w:rPr>
            <w:rStyle w:val="ListLabel86"/>
          </w:rPr>
          <w:t>dygeias@serres.pkm.gov.gr</w:t>
        </w:r>
      </w:hyperlink>
    </w:p>
    <w:p>
      <w:pPr>
        <w:pStyle w:val="Normal"/>
        <w:ind w:right="-760" w:hanging="0"/>
        <w:jc w:val="both"/>
        <w:rPr/>
      </w:pPr>
      <w:r>
        <w:rPr/>
      </w:r>
    </w:p>
    <w:p>
      <w:pPr>
        <w:pStyle w:val="Normal"/>
        <w:ind w:right="-760" w:hanging="0"/>
        <w:jc w:val="both"/>
        <w:rPr/>
      </w:pPr>
      <w:r>
        <w:rPr>
          <w:b/>
          <w:bCs/>
          <w:u w:val="single"/>
        </w:rPr>
        <w:t>Για την Περιφερειακή Ενότητα Χαλκιδικής:</w:t>
      </w:r>
      <w:r>
        <w:rPr/>
        <w:t xml:space="preserve"> στη Δ/νση Δημόσιας Υγείας &amp; Κοινωνικής Μέριμνας, στο </w:t>
      </w:r>
      <w:r>
        <w:rPr>
          <w:lang w:val="en-US"/>
        </w:rPr>
        <w:t>e</w:t>
      </w:r>
      <w:r>
        <w:rPr/>
        <w:t>-</w:t>
      </w:r>
      <w:r>
        <w:rPr>
          <w:lang w:val="en-US"/>
        </w:rPr>
        <w:t>mail</w:t>
      </w:r>
      <w:r>
        <w:rPr/>
        <w:t>: dypeh@halkidiki.gov.gr</w:t>
      </w:r>
    </w:p>
    <w:p>
      <w:pPr>
        <w:pStyle w:val="Normal"/>
        <w:ind w:right="-760" w:hanging="0"/>
        <w:jc w:val="both"/>
        <w:rPr>
          <w:b/>
          <w:b/>
          <w:bCs/>
          <w:u w:val="single"/>
        </w:rPr>
      </w:pPr>
      <w:r>
        <w:rPr>
          <w:b/>
          <w:bCs/>
          <w:u w:val="single"/>
        </w:rPr>
      </w:r>
    </w:p>
    <w:p>
      <w:pPr>
        <w:pStyle w:val="Normal"/>
        <w:ind w:right="-760" w:hanging="0"/>
        <w:jc w:val="both"/>
        <w:rPr/>
      </w:pPr>
      <w:r>
        <w:rPr/>
      </w:r>
    </w:p>
    <w:p>
      <w:pPr>
        <w:pStyle w:val="Normal"/>
        <w:ind w:right="-760" w:hanging="0"/>
        <w:jc w:val="both"/>
        <w:rPr/>
      </w:pPr>
      <w:r>
        <w:rPr/>
        <w:t>Τα δικαιολογητικά που θα υποβληθούν είναι:</w:t>
      </w:r>
    </w:p>
    <w:p>
      <w:pPr>
        <w:pStyle w:val="Normal"/>
        <w:ind w:right="-760" w:hanging="0"/>
        <w:jc w:val="both"/>
        <w:rPr/>
      </w:pPr>
      <w:r>
        <w:rPr/>
      </w:r>
    </w:p>
    <w:p>
      <w:pPr>
        <w:pStyle w:val="Normal"/>
        <w:numPr>
          <w:ilvl w:val="0"/>
          <w:numId w:val="4"/>
        </w:numPr>
        <w:spacing w:lineRule="auto" w:line="312"/>
        <w:ind w:left="714" w:right="-760" w:hanging="357"/>
        <w:jc w:val="both"/>
        <w:rPr/>
      </w:pPr>
      <w:r>
        <w:rPr/>
        <w:t xml:space="preserve">Η αίτηση-υπεύθυνη δήλωση συμπληρωμένη και υπογεγραμμένη </w:t>
      </w:r>
    </w:p>
    <w:p>
      <w:pPr>
        <w:pStyle w:val="Normal"/>
        <w:numPr>
          <w:ilvl w:val="0"/>
          <w:numId w:val="3"/>
        </w:numPr>
        <w:spacing w:lineRule="auto" w:line="312"/>
        <w:ind w:left="714" w:right="-760" w:hanging="357"/>
        <w:jc w:val="both"/>
        <w:rPr/>
      </w:pPr>
      <w:r>
        <w:rPr/>
        <w:t>Αντίγραφο απολυτηρίου εκπαίδευσης (Απολυτήριο Λυκείου)</w:t>
      </w:r>
    </w:p>
    <w:p>
      <w:pPr>
        <w:pStyle w:val="Normal"/>
        <w:numPr>
          <w:ilvl w:val="0"/>
          <w:numId w:val="3"/>
        </w:numPr>
        <w:spacing w:lineRule="auto" w:line="312"/>
        <w:ind w:left="714" w:right="-807" w:hanging="357"/>
        <w:jc w:val="both"/>
        <w:rPr/>
      </w:pPr>
      <w:r>
        <w:rPr/>
        <w:t xml:space="preserve">Αντίγραφο Δελτίου Αστυνομικής Ταυτότητας ή Διαβατηρίου ενδιαφερόμενου </w:t>
      </w:r>
    </w:p>
    <w:p>
      <w:pPr>
        <w:pStyle w:val="Normal"/>
        <w:numPr>
          <w:ilvl w:val="0"/>
          <w:numId w:val="3"/>
        </w:numPr>
        <w:spacing w:lineRule="auto" w:line="312"/>
        <w:ind w:left="714" w:right="-807" w:hanging="357"/>
        <w:jc w:val="both"/>
        <w:rPr/>
      </w:pPr>
      <w:r>
        <w:rPr/>
        <w:t>Αντίγραφο Δελτίου Αστυνομικής Ταυτότητας ή Διαβατηρίου γονέα ή κηδεμόνα</w:t>
      </w:r>
    </w:p>
    <w:p>
      <w:pPr>
        <w:pStyle w:val="Normal"/>
        <w:numPr>
          <w:ilvl w:val="0"/>
          <w:numId w:val="3"/>
        </w:numPr>
        <w:spacing w:lineRule="auto" w:line="312"/>
        <w:ind w:left="714" w:right="-807" w:hanging="357"/>
        <w:jc w:val="both"/>
        <w:rPr/>
      </w:pPr>
      <w:r>
        <w:rPr/>
        <w:t>Βεβαίωση μονίμου κατοικίας από την οποία να προκύπτει ότι ο ενδιαφερόμενος κατοικεί μόνιμα εντός της Π.Κ.Μ.</w:t>
      </w:r>
    </w:p>
    <w:p>
      <w:pPr>
        <w:pStyle w:val="Normal"/>
        <w:numPr>
          <w:ilvl w:val="0"/>
          <w:numId w:val="3"/>
        </w:numPr>
        <w:spacing w:lineRule="auto" w:line="312"/>
        <w:ind w:left="714" w:right="-807" w:hanging="357"/>
        <w:jc w:val="both"/>
        <w:rPr/>
      </w:pPr>
      <w:r>
        <w:rPr/>
        <w:t>Πιστοποιητικό οικογενειακής κατάστασης</w:t>
      </w:r>
    </w:p>
    <w:p>
      <w:pPr>
        <w:pStyle w:val="Normal"/>
        <w:numPr>
          <w:ilvl w:val="0"/>
          <w:numId w:val="3"/>
        </w:numPr>
        <w:spacing w:lineRule="auto" w:line="312"/>
        <w:ind w:left="714" w:right="-760" w:hanging="357"/>
        <w:jc w:val="both"/>
        <w:rPr>
          <w:b/>
          <w:b/>
          <w:bCs/>
          <w:u w:val="single"/>
        </w:rPr>
      </w:pPr>
      <w:r>
        <w:rPr/>
        <w:t xml:space="preserve">Αντίγραφο εκκαθαριστικού σημειώματος φορολογικού έτους 2021 (γονέα ή κηδεμόνα </w:t>
      </w:r>
      <w:r>
        <w:rPr>
          <w:b/>
          <w:bCs/>
        </w:rPr>
        <w:t>και</w:t>
      </w:r>
      <w:r>
        <w:rPr/>
        <w:t xml:space="preserve"> υποψηφίου εφόσον υποβάλλει δήλωση) και έντυπο δήλωσης περιουσίας Ε9 (γονέα ή κηδεμόνα </w:t>
      </w:r>
      <w:r>
        <w:rPr>
          <w:b/>
          <w:bCs/>
        </w:rPr>
        <w:t>και</w:t>
      </w:r>
      <w:r>
        <w:rPr/>
        <w:t xml:space="preserve"> υποψηφίου εφόσον υπάρχει). Σε περίπτωση που το φορολογητέο εισόδημα του γονέα ή κηδεμόνα,  εμπίπτει στην κατηγορία που δεν υπάρχει υποχρέωση για υποβολή φορολογικής δήλωσης, υποβάλλεται  υπεύθυνη δήλωση. Σε περίπτωση που ο ενδιαφερόμενος δεν υποβάλλει φορολογική δήλωση, υποβάλλει υπεύθυνη δήλωση.  </w:t>
      </w:r>
      <w:r>
        <w:rPr>
          <w:b/>
          <w:bCs/>
          <w:u w:val="single"/>
        </w:rPr>
        <w:t>Το εισόδημα υπολογίζεται αθροιστικά (γονέα και υποψηφίου εφόσον υπάρχει) και δεν πρέπει να υπερβαίνει τα 15.000€.</w:t>
      </w:r>
    </w:p>
    <w:p>
      <w:pPr>
        <w:pStyle w:val="Normal"/>
        <w:ind w:right="-760" w:hanging="0"/>
        <w:jc w:val="center"/>
        <w:rPr>
          <w:b/>
          <w:b/>
          <w:bCs/>
          <w:u w:val="single"/>
        </w:rPr>
      </w:pPr>
      <w:r>
        <w:rPr>
          <w:b/>
          <w:bCs/>
          <w:u w:val="single"/>
        </w:rPr>
      </w:r>
    </w:p>
    <w:p>
      <w:pPr>
        <w:pStyle w:val="Normal"/>
        <w:ind w:right="-760" w:hanging="0"/>
        <w:jc w:val="center"/>
        <w:rPr>
          <w:b/>
          <w:b/>
          <w:bCs/>
          <w:u w:val="single"/>
        </w:rPr>
      </w:pPr>
      <w:r>
        <w:rPr>
          <w:b/>
          <w:bCs/>
          <w:u w:val="single"/>
        </w:rPr>
      </w:r>
    </w:p>
    <w:p>
      <w:pPr>
        <w:pStyle w:val="Normal"/>
        <w:ind w:right="-760" w:hanging="0"/>
        <w:jc w:val="center"/>
        <w:rPr>
          <w:b/>
          <w:b/>
          <w:bCs/>
          <w:u w:val="single"/>
        </w:rPr>
      </w:pPr>
      <w:r>
        <w:rPr>
          <w:b/>
          <w:bCs/>
          <w:u w:val="single"/>
        </w:rPr>
        <w:t xml:space="preserve">ΙΙΙ. ΚΟΙΝΩΝΙΚΑ ΚΡΙΤΗΡΙΑ &amp;ΑΚΑΔΗΜΑΙΚΑ  </w:t>
      </w:r>
    </w:p>
    <w:p>
      <w:pPr>
        <w:pStyle w:val="Normal"/>
        <w:ind w:right="-760" w:hanging="0"/>
        <w:jc w:val="both"/>
        <w:rPr/>
      </w:pPr>
      <w:r>
        <w:rPr/>
      </w:r>
    </w:p>
    <w:p>
      <w:pPr>
        <w:pStyle w:val="Normal"/>
        <w:ind w:right="-760" w:hanging="0"/>
        <w:jc w:val="both"/>
        <w:rPr/>
      </w:pPr>
      <w:r>
        <w:rPr/>
      </w:r>
    </w:p>
    <w:p>
      <w:pPr>
        <w:pStyle w:val="ListParagraph"/>
        <w:spacing w:lineRule="auto" w:line="240" w:before="0" w:after="0"/>
        <w:ind w:left="360" w:right="-760" w:hanging="0"/>
        <w:jc w:val="both"/>
        <w:rPr>
          <w:rFonts w:ascii="Times New Roman" w:hAnsi="Times New Roman" w:cs="Times New Roman"/>
          <w:sz w:val="24"/>
          <w:szCs w:val="24"/>
        </w:rPr>
      </w:pPr>
      <w:r>
        <w:rPr>
          <w:rFonts w:cs="Times New Roman" w:ascii="Times New Roman" w:hAnsi="Times New Roman"/>
          <w:sz w:val="24"/>
          <w:szCs w:val="24"/>
        </w:rPr>
        <w:t xml:space="preserve">Οι υπότροφοι επιλέγονται με βάση κοινωνικο-οικονομικά κριτήρια και ακαδημαϊκά κριτήρια </w:t>
      </w:r>
      <w:r>
        <w:rPr>
          <w:rFonts w:cs="Times New Roman" w:ascii="Times New Roman" w:hAnsi="Times New Roman"/>
          <w:i/>
          <w:iCs/>
          <w:sz w:val="24"/>
          <w:szCs w:val="24"/>
        </w:rPr>
        <w:t>(επιδόσεις στο Λύκειο).</w:t>
      </w:r>
      <w:r>
        <w:rPr>
          <w:rFonts w:cs="Times New Roman" w:ascii="Times New Roman" w:hAnsi="Times New Roman"/>
          <w:sz w:val="24"/>
          <w:szCs w:val="24"/>
        </w:rPr>
        <w:t xml:space="preserve"> Συγκεκριμένα:</w:t>
      </w:r>
    </w:p>
    <w:p>
      <w:pPr>
        <w:pStyle w:val="ListParagraph"/>
        <w:spacing w:lineRule="auto" w:line="240" w:before="0" w:after="0"/>
        <w:ind w:left="360" w:right="-760" w:hanging="0"/>
        <w:jc w:val="both"/>
        <w:rPr>
          <w:rFonts w:ascii="Times New Roman" w:hAnsi="Times New Roman" w:cs="Times New Roman"/>
          <w:sz w:val="24"/>
          <w:szCs w:val="24"/>
        </w:rPr>
      </w:pPr>
      <w:r>
        <w:rPr>
          <w:rFonts w:cs="Times New Roman" w:ascii="Times New Roman" w:hAnsi="Times New Roman"/>
          <w:sz w:val="24"/>
          <w:szCs w:val="24"/>
        </w:rPr>
      </w:r>
    </w:p>
    <w:tbl>
      <w:tblPr>
        <w:tblW w:w="8592" w:type="dxa"/>
        <w:jc w:val="center"/>
        <w:tblInd w:w="0" w:type="dxa"/>
        <w:tblCellMar>
          <w:top w:w="0" w:type="dxa"/>
          <w:left w:w="103" w:type="dxa"/>
          <w:bottom w:w="0" w:type="dxa"/>
          <w:right w:w="108" w:type="dxa"/>
        </w:tblCellMar>
        <w:tblLook w:firstRow="1" w:noVBand="0" w:lastRow="1" w:firstColumn="1" w:lastColumn="1" w:noHBand="0" w:val="01e0"/>
      </w:tblPr>
      <w:tblGrid>
        <w:gridCol w:w="1925"/>
        <w:gridCol w:w="6666"/>
      </w:tblGrid>
      <w:tr>
        <w:trPr/>
        <w:tc>
          <w:tcPr>
            <w:tcW w:w="19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6"/>
                <w:szCs w:val="26"/>
              </w:rPr>
            </w:pPr>
            <w:r>
              <w:rPr>
                <w:b/>
                <w:bCs/>
                <w:sz w:val="26"/>
                <w:szCs w:val="26"/>
              </w:rPr>
              <w:t>1. Οικονομικά Κριτήρια</w:t>
            </w:r>
          </w:p>
        </w:tc>
        <w:tc>
          <w:tcPr>
            <w:tcW w:w="6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6"/>
                <w:szCs w:val="26"/>
              </w:rPr>
            </w:pPr>
            <w:r>
              <w:rPr>
                <w:b/>
                <w:bCs/>
                <w:sz w:val="26"/>
                <w:szCs w:val="26"/>
              </w:rPr>
              <w:t>Αποδεικτικό Επίσημο Έγγραφο</w:t>
            </w:r>
          </w:p>
        </w:tc>
      </w:tr>
      <w:tr>
        <w:trPr/>
        <w:tc>
          <w:tcPr>
            <w:tcW w:w="19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rPr>
            </w:pPr>
            <w:r>
              <w:rPr>
                <w:b/>
                <w:bCs/>
              </w:rPr>
              <w:t>Φορολογητέο Εισόδημα</w:t>
            </w:r>
          </w:p>
          <w:p>
            <w:pPr>
              <w:pStyle w:val="Normal"/>
              <w:widowControl w:val="false"/>
              <w:rPr/>
            </w:pPr>
            <w:r>
              <w:rPr/>
            </w:r>
          </w:p>
          <w:p>
            <w:pPr>
              <w:pStyle w:val="Normal"/>
              <w:widowControl w:val="false"/>
              <w:rPr/>
            </w:pPr>
            <w:r>
              <w:rPr/>
              <w:t>Φορ. Έτους 2021 (εισόδημα από 01/01/2021 έως 31/12/2021)</w:t>
            </w:r>
          </w:p>
          <w:p>
            <w:pPr>
              <w:pStyle w:val="Normal"/>
              <w:widowControl w:val="false"/>
              <w:rPr>
                <w:b/>
                <w:b/>
              </w:rPr>
            </w:pPr>
            <w:r>
              <w:rPr>
                <w:b/>
              </w:rPr>
            </w:r>
          </w:p>
          <w:p>
            <w:pPr>
              <w:pStyle w:val="Normal"/>
              <w:widowControl w:val="false"/>
              <w:rPr/>
            </w:pPr>
            <w:r>
              <w:rPr/>
              <w:t>Δικαιούχοι είναι όσοι έχουν εισόδημα έως  15.000 €</w:t>
            </w:r>
          </w:p>
          <w:p>
            <w:pPr>
              <w:pStyle w:val="Normal"/>
              <w:widowControl w:val="false"/>
              <w:rPr/>
            </w:pPr>
            <w:r>
              <w:rPr/>
            </w:r>
          </w:p>
          <w:p>
            <w:pPr>
              <w:pStyle w:val="Normal"/>
              <w:widowControl w:val="false"/>
              <w:rPr>
                <w:b/>
                <w:b/>
              </w:rPr>
            </w:pPr>
            <w:r>
              <w:rPr/>
              <w:t>(γονέας ή κηδεμόνας + υποψηφίου εφόσον υπάρχει)</w:t>
            </w:r>
          </w:p>
          <w:p>
            <w:pPr>
              <w:pStyle w:val="Normal"/>
              <w:widowControl w:val="false"/>
              <w:rPr>
                <w:b/>
                <w:b/>
              </w:rPr>
            </w:pPr>
            <w:r>
              <w:rPr>
                <w:b/>
              </w:rPr>
            </w:r>
          </w:p>
        </w:tc>
        <w:tc>
          <w:tcPr>
            <w:tcW w:w="6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rPr>
            </w:pPr>
            <w:r>
              <w:rPr>
                <w:bCs/>
              </w:rPr>
              <w:t>Αντίγραφο εκκαθαριστικού σημειώματος φορολογικού έτους 2021</w:t>
            </w:r>
          </w:p>
          <w:p>
            <w:pPr>
              <w:pStyle w:val="Normal"/>
              <w:widowControl w:val="false"/>
              <w:rPr>
                <w:bCs/>
              </w:rPr>
            </w:pPr>
            <w:r>
              <w:rPr>
                <w:bCs/>
              </w:rPr>
              <w:t>(γονέα ή κηδεμόνα και υποψηφίου εφόσον υπάρχει)</w:t>
            </w:r>
          </w:p>
          <w:p>
            <w:pPr>
              <w:pStyle w:val="Normal"/>
              <w:widowControl w:val="false"/>
              <w:rPr>
                <w:bCs/>
              </w:rPr>
            </w:pPr>
            <w:r>
              <w:rPr>
                <w:bCs/>
              </w:rPr>
            </w:r>
          </w:p>
          <w:p>
            <w:pPr>
              <w:pStyle w:val="Normal"/>
              <w:widowControl w:val="false"/>
              <w:rPr>
                <w:bCs/>
              </w:rPr>
            </w:pPr>
            <w:r>
              <w:rPr>
                <w:bCs/>
              </w:rPr>
              <w:t>Έντυπο δήλωσης περιουσίας Ε9 (γονέα ή κηδεμόνα και υποψηφίου εφόσον υπάρχει)</w:t>
            </w:r>
          </w:p>
          <w:p>
            <w:pPr>
              <w:pStyle w:val="Normal"/>
              <w:widowControl w:val="false"/>
              <w:rPr>
                <w:bCs/>
              </w:rPr>
            </w:pPr>
            <w:r>
              <w:rPr>
                <w:bCs/>
              </w:rPr>
            </w:r>
          </w:p>
          <w:p>
            <w:pPr>
              <w:pStyle w:val="Normal"/>
              <w:widowControl w:val="false"/>
              <w:rPr>
                <w:b/>
                <w:b/>
              </w:rPr>
            </w:pPr>
            <w:r>
              <w:rPr/>
              <w:t>Σε περίπτωση μη υποβολής, Υπεύθυνη Δήλωση</w:t>
            </w:r>
          </w:p>
        </w:tc>
      </w:tr>
      <w:tr>
        <w:trPr/>
        <w:tc>
          <w:tcPr>
            <w:tcW w:w="19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6"/>
                <w:szCs w:val="26"/>
              </w:rPr>
            </w:pPr>
            <w:r>
              <w:rPr>
                <w:b/>
                <w:bCs/>
                <w:sz w:val="26"/>
                <w:szCs w:val="26"/>
              </w:rPr>
              <w:t>2. Κοινωνικά Κριτήρια</w:t>
            </w:r>
          </w:p>
        </w:tc>
        <w:tc>
          <w:tcPr>
            <w:tcW w:w="6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6"/>
                <w:szCs w:val="26"/>
              </w:rPr>
            </w:pPr>
            <w:r>
              <w:rPr>
                <w:b/>
                <w:bCs/>
                <w:sz w:val="26"/>
                <w:szCs w:val="26"/>
              </w:rPr>
              <w:t>Αποδεικτικό Επίσημο Έγγραφο</w:t>
            </w:r>
          </w:p>
        </w:tc>
      </w:tr>
      <w:tr>
        <w:trPr/>
        <w:tc>
          <w:tcPr>
            <w:tcW w:w="19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p>
            <w:pPr>
              <w:pStyle w:val="Normal"/>
              <w:widowControl w:val="false"/>
              <w:rPr/>
            </w:pPr>
            <w:r>
              <w:rPr/>
              <w:t>Ανεργία</w:t>
            </w:r>
          </w:p>
          <w:p>
            <w:pPr>
              <w:pStyle w:val="Normal"/>
              <w:widowControl w:val="false"/>
              <w:rPr>
                <w:b/>
                <w:b/>
              </w:rPr>
            </w:pPr>
            <w:r>
              <w:rPr>
                <w:b/>
              </w:rPr>
            </w:r>
          </w:p>
        </w:tc>
        <w:tc>
          <w:tcPr>
            <w:tcW w:w="6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ind w:left="360" w:hanging="0"/>
              <w:jc w:val="center"/>
              <w:rPr>
                <w:bCs/>
              </w:rPr>
            </w:pPr>
            <w:r>
              <w:rPr>
                <w:bCs/>
              </w:rPr>
            </w:r>
          </w:p>
          <w:p>
            <w:pPr>
              <w:pStyle w:val="Normal"/>
              <w:widowControl w:val="false"/>
              <w:spacing w:lineRule="auto" w:line="360"/>
              <w:rPr>
                <w:bCs/>
              </w:rPr>
            </w:pPr>
            <w:r>
              <mc:AlternateContent>
                <mc:Choice Requires="wps">
                  <w:drawing>
                    <wp:anchor behindDoc="0" distT="0" distB="0" distL="0" distR="0" simplePos="0" locked="0" layoutInCell="1" allowOverlap="1" relativeHeight="7" wp14:anchorId="034825BB">
                      <wp:simplePos x="0" y="0"/>
                      <wp:positionH relativeFrom="column">
                        <wp:posOffset>5153660</wp:posOffset>
                      </wp:positionH>
                      <wp:positionV relativeFrom="paragraph">
                        <wp:posOffset>62865</wp:posOffset>
                      </wp:positionV>
                      <wp:extent cx="252730" cy="191135"/>
                      <wp:effectExtent l="0" t="0" r="0" b="0"/>
                      <wp:wrapNone/>
                      <wp:docPr id="2" name="Εικόνα1"/>
                      <a:graphic xmlns:a="http://schemas.openxmlformats.org/drawingml/2006/main">
                        <a:graphicData uri="http://schemas.microsoft.com/office/word/2010/wordprocessingShape">
                          <wps:wsp>
                            <wps:cNvSpPr/>
                            <wps:spPr>
                              <a:xfrm>
                                <a:off x="0" y="0"/>
                                <a:ext cx="252000" cy="190440"/>
                              </a:xfrm>
                              <a:prstGeom prst="rect">
                                <a:avLst/>
                              </a:prstGeom>
                              <a:solidFill>
                                <a:srgbClr val="ffffff"/>
                              </a:solidFill>
                              <a:ln/>
                            </wps:spPr>
                            <wps:style>
                              <a:lnRef idx="0"/>
                              <a:fillRef idx="0"/>
                              <a:effectRef idx="0"/>
                              <a:fontRef idx="minor"/>
                            </wps:style>
                            <wps:bodyPr/>
                          </wps:wsp>
                        </a:graphicData>
                      </a:graphic>
                    </wp:anchor>
                  </w:drawing>
                </mc:Choice>
                <mc:Fallback>
                  <w:pict>
                    <v:rect id="shape_0" ID="Εικόνα1" fillcolor="white" stroked="t" style="position:absolute;margin-left:405.8pt;margin-top:4.95pt;width:19.8pt;height:14.95pt" wp14:anchorId="034825BB">
                      <w10:wrap type="none"/>
                      <v:fill o:detectmouseclick="t" type="solid" color2="black"/>
                      <v:stroke color="black" joinstyle="round" endcap="flat"/>
                    </v:rect>
                  </w:pict>
                </mc:Fallback>
              </mc:AlternateContent>
            </w:r>
            <w:r>
              <w:rPr>
                <w:bCs/>
              </w:rPr>
              <w:t>Κάρτα ανεργίας</w:t>
            </w:r>
          </w:p>
          <w:p>
            <w:pPr>
              <w:pStyle w:val="Normal"/>
              <w:widowControl w:val="false"/>
              <w:jc w:val="center"/>
              <w:rPr>
                <w:b/>
                <w:b/>
              </w:rPr>
            </w:pPr>
            <w:r>
              <w:rPr>
                <w:b/>
              </w:rPr>
            </w:r>
          </w:p>
        </w:tc>
      </w:tr>
      <w:tr>
        <w:trPr/>
        <w:tc>
          <w:tcPr>
            <w:tcW w:w="19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rPr>
            </w:pPr>
            <w:r>
              <w:rPr/>
              <w:t>Αναπηρία Υποψηφίου, Γονέων ή Αδελφών</w:t>
            </w:r>
          </w:p>
        </w:tc>
        <w:tc>
          <w:tcPr>
            <w:tcW w:w="6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rPr>
            </w:pPr>
            <w:r>
              <mc:AlternateContent>
                <mc:Choice Requires="wps">
                  <w:drawing>
                    <wp:anchor behindDoc="0" distT="0" distB="0" distL="0" distR="0" simplePos="0" locked="0" layoutInCell="1" allowOverlap="1" relativeHeight="8" wp14:anchorId="763CD0DA">
                      <wp:simplePos x="0" y="0"/>
                      <wp:positionH relativeFrom="column">
                        <wp:posOffset>5153660</wp:posOffset>
                      </wp:positionH>
                      <wp:positionV relativeFrom="paragraph">
                        <wp:posOffset>62865</wp:posOffset>
                      </wp:positionV>
                      <wp:extent cx="252730" cy="191135"/>
                      <wp:effectExtent l="0" t="0" r="0" b="0"/>
                      <wp:wrapNone/>
                      <wp:docPr id="3" name="Εικόνα2"/>
                      <a:graphic xmlns:a="http://schemas.openxmlformats.org/drawingml/2006/main">
                        <a:graphicData uri="http://schemas.microsoft.com/office/word/2010/wordprocessingShape">
                          <wps:wsp>
                            <wps:cNvSpPr/>
                            <wps:spPr>
                              <a:xfrm>
                                <a:off x="0" y="0"/>
                                <a:ext cx="252000" cy="190440"/>
                              </a:xfrm>
                              <a:prstGeom prst="rect">
                                <a:avLst/>
                              </a:prstGeom>
                              <a:solidFill>
                                <a:srgbClr val="ffffff"/>
                              </a:solidFill>
                              <a:ln/>
                            </wps:spPr>
                            <wps:style>
                              <a:lnRef idx="0"/>
                              <a:fillRef idx="0"/>
                              <a:effectRef idx="0"/>
                              <a:fontRef idx="minor"/>
                            </wps:style>
                            <wps:bodyPr/>
                          </wps:wsp>
                        </a:graphicData>
                      </a:graphic>
                    </wp:anchor>
                  </w:drawing>
                </mc:Choice>
                <mc:Fallback>
                  <w:pict>
                    <v:rect id="shape_0" ID="Εικόνα2" fillcolor="white" stroked="t" style="position:absolute;margin-left:405.8pt;margin-top:4.95pt;width:19.8pt;height:14.95pt" wp14:anchorId="763CD0DA">
                      <w10:wrap type="none"/>
                      <v:fill o:detectmouseclick="t" type="solid" color2="black"/>
                      <v:stroke color="black" joinstyle="round" endcap="flat"/>
                    </v:rect>
                  </w:pict>
                </mc:Fallback>
              </mc:AlternateContent>
            </w:r>
            <w:r>
              <w:rPr>
                <w:bCs/>
              </w:rPr>
              <w:t>Γνωμάτευση πιστοποίησης αναπηρίας από ΚΕ.Π.Α</w:t>
            </w:r>
          </w:p>
        </w:tc>
      </w:tr>
      <w:tr>
        <w:trPr/>
        <w:tc>
          <w:tcPr>
            <w:tcW w:w="1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rPr>
            </w:pPr>
            <w:r>
              <w:rPr/>
              <w:t>Μονογονεϊκή οικογένεια:</w:t>
            </w:r>
          </w:p>
        </w:tc>
        <w:tc>
          <w:tcPr>
            <w:tcW w:w="6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Cs/>
              </w:rPr>
            </w:pPr>
            <w:r>
              <w:rPr>
                <w:bCs/>
              </w:rPr>
              <w:t>Διαζευκτήριο ή ανάθεση επιμέλειας τέκνων για μονογονεϊκες οικογένειες</w:t>
            </w:r>
          </w:p>
          <w:p>
            <w:pPr>
              <w:pStyle w:val="Normal"/>
              <w:widowControl w:val="false"/>
              <w:rPr>
                <w:bCs/>
              </w:rPr>
            </w:pPr>
            <w:r>
              <w:rPr>
                <w:bCs/>
              </w:rPr>
              <w:t>Πιστοποιητικό οικογενειακής κατάστασης</w:t>
            </w:r>
          </w:p>
          <w:p>
            <w:pPr>
              <w:pStyle w:val="Normal"/>
              <w:widowControl w:val="false"/>
              <w:rPr>
                <w:bCs/>
              </w:rPr>
            </w:pPr>
            <w:r>
              <w:rPr>
                <w:bCs/>
              </w:rPr>
            </w:r>
          </w:p>
        </w:tc>
      </w:tr>
      <w:tr>
        <w:trPr/>
        <w:tc>
          <w:tcPr>
            <w:tcW w:w="1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Ορφανό από ένα τουλάχιστο γονέα</w:t>
            </w:r>
          </w:p>
        </w:tc>
        <w:tc>
          <w:tcPr>
            <w:tcW w:w="6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ind w:left="60" w:hanging="0"/>
              <w:jc w:val="both"/>
              <w:rPr>
                <w:bCs/>
              </w:rPr>
            </w:pPr>
            <w:r>
              <mc:AlternateContent>
                <mc:Choice Requires="wps">
                  <w:drawing>
                    <wp:anchor behindDoc="0" distT="0" distB="0" distL="0" distR="0" simplePos="0" locked="0" layoutInCell="1" allowOverlap="1" relativeHeight="10" wp14:anchorId="2A36E079">
                      <wp:simplePos x="0" y="0"/>
                      <wp:positionH relativeFrom="column">
                        <wp:posOffset>5153660</wp:posOffset>
                      </wp:positionH>
                      <wp:positionV relativeFrom="paragraph">
                        <wp:posOffset>62865</wp:posOffset>
                      </wp:positionV>
                      <wp:extent cx="252730" cy="191135"/>
                      <wp:effectExtent l="0" t="0" r="0" b="0"/>
                      <wp:wrapNone/>
                      <wp:docPr id="4" name="Εικόνα3"/>
                      <a:graphic xmlns:a="http://schemas.openxmlformats.org/drawingml/2006/main">
                        <a:graphicData uri="http://schemas.microsoft.com/office/word/2010/wordprocessingShape">
                          <wps:wsp>
                            <wps:cNvSpPr/>
                            <wps:spPr>
                              <a:xfrm>
                                <a:off x="0" y="0"/>
                                <a:ext cx="252000" cy="190440"/>
                              </a:xfrm>
                              <a:prstGeom prst="rect">
                                <a:avLst/>
                              </a:prstGeom>
                              <a:solidFill>
                                <a:srgbClr val="ffffff"/>
                              </a:solidFill>
                              <a:ln/>
                            </wps:spPr>
                            <wps:style>
                              <a:lnRef idx="0"/>
                              <a:fillRef idx="0"/>
                              <a:effectRef idx="0"/>
                              <a:fontRef idx="minor"/>
                            </wps:style>
                            <wps:bodyPr/>
                          </wps:wsp>
                        </a:graphicData>
                      </a:graphic>
                    </wp:anchor>
                  </w:drawing>
                </mc:Choice>
                <mc:Fallback>
                  <w:pict>
                    <v:rect id="shape_0" ID="Εικόνα3" fillcolor="white" stroked="t" style="position:absolute;margin-left:405.8pt;margin-top:4.95pt;width:19.8pt;height:14.95pt" wp14:anchorId="2A36E079">
                      <w10:wrap type="none"/>
                      <v:fill o:detectmouseclick="t" type="solid" color2="black"/>
                      <v:stroke color="black" joinstyle="round" endcap="flat"/>
                    </v:rect>
                  </w:pict>
                </mc:Fallback>
              </mc:AlternateContent>
            </w:r>
            <w:r>
              <w:rPr>
                <w:bCs/>
              </w:rPr>
              <w:t>Ληξιαρχική πράξη θανάτου γονέα</w:t>
            </w:r>
          </w:p>
          <w:p>
            <w:pPr>
              <w:pStyle w:val="Normal"/>
              <w:widowControl w:val="false"/>
              <w:spacing w:lineRule="auto" w:line="360"/>
              <w:ind w:left="60" w:hanging="0"/>
              <w:jc w:val="both"/>
              <w:rPr>
                <w:bCs/>
              </w:rPr>
            </w:pPr>
            <w:r>
              <w:rPr>
                <w:bCs/>
              </w:rPr>
              <w:t>Πιστοποιητικό οικογενειακής κατάστασης</w:t>
            </w:r>
          </w:p>
          <w:p>
            <w:pPr>
              <w:pStyle w:val="Normal"/>
              <w:widowControl w:val="false"/>
              <w:rPr>
                <w:b/>
                <w:b/>
              </w:rPr>
            </w:pPr>
            <w:r>
              <w:rPr>
                <w:b/>
              </w:rPr>
            </w:r>
          </w:p>
        </w:tc>
      </w:tr>
      <w:tr>
        <w:trPr/>
        <w:tc>
          <w:tcPr>
            <w:tcW w:w="19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rPr>
            </w:pPr>
            <w:r>
              <w:rPr/>
              <w:t>Τρίτεκνη ή Πολύτεκνη οικογένεια</w:t>
            </w:r>
          </w:p>
        </w:tc>
        <w:tc>
          <w:tcPr>
            <w:tcW w:w="6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rPr>
            </w:pPr>
            <w:r>
              <w:rPr>
                <w:bCs/>
              </w:rPr>
              <w:t>Πιστοποιητικό οικογενειακής κατάστασης</w:t>
            </w:r>
          </w:p>
        </w:tc>
      </w:tr>
      <w:tr>
        <w:trPr/>
        <w:tc>
          <w:tcPr>
            <w:tcW w:w="192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b/>
                <w:b/>
                <w:bCs/>
                <w:sz w:val="26"/>
                <w:szCs w:val="26"/>
              </w:rPr>
            </w:pPr>
            <w:r>
              <w:rPr>
                <w:b/>
                <w:bCs/>
                <w:sz w:val="26"/>
                <w:szCs w:val="26"/>
              </w:rPr>
              <w:t>3. Ακαδημαϊκά Κριτήρια</w:t>
            </w:r>
          </w:p>
        </w:tc>
        <w:tc>
          <w:tcPr>
            <w:tcW w:w="66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bCs/>
                <w:sz w:val="26"/>
                <w:szCs w:val="26"/>
              </w:rPr>
            </w:pPr>
            <w:r>
              <w:rPr>
                <w:b/>
                <w:bCs/>
                <w:sz w:val="26"/>
                <w:szCs w:val="26"/>
              </w:rPr>
              <w:t>Αποδεικτικό Επίσημο Έγγραφο</w:t>
            </w:r>
          </w:p>
        </w:tc>
      </w:tr>
      <w:tr>
        <w:trPr/>
        <w:tc>
          <w:tcPr>
            <w:tcW w:w="19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Cs/>
              </w:rPr>
            </w:pPr>
            <w:r>
              <w:rPr>
                <w:bCs/>
              </w:rPr>
            </w:r>
          </w:p>
        </w:tc>
        <w:tc>
          <w:tcPr>
            <w:tcW w:w="66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b/>
              </w:rPr>
            </w:pPr>
            <w:r>
              <w:rPr>
                <w:bCs/>
              </w:rPr>
              <w:t>Απολυτήριο Λυκείου</w:t>
            </w:r>
          </w:p>
        </w:tc>
      </w:tr>
    </w:tbl>
    <w:p>
      <w:pPr>
        <w:pStyle w:val="Normal"/>
        <w:ind w:right="-760" w:hanging="0"/>
        <w:jc w:val="both"/>
        <w:rPr/>
      </w:pPr>
      <w:r>
        <w:rPr/>
      </w:r>
    </w:p>
    <w:p>
      <w:pPr>
        <w:pStyle w:val="Normal"/>
        <w:ind w:right="-760" w:hanging="0"/>
        <w:jc w:val="both"/>
        <w:rPr>
          <w:b/>
          <w:b/>
          <w:bCs/>
        </w:rPr>
      </w:pPr>
      <w:r>
        <w:rPr>
          <w:b/>
          <w:bCs/>
        </w:rPr>
        <w:t>Για τα προσωπικά δεδομένα των αιτούντων θα τηρηθεί αυστηρά το απόρρητο και δεν θα υποστούν επεξεργασία.</w:t>
      </w:r>
    </w:p>
    <w:p>
      <w:pPr>
        <w:pStyle w:val="Normal"/>
        <w:ind w:right="-760" w:hanging="0"/>
        <w:jc w:val="both"/>
        <w:rPr/>
      </w:pPr>
      <w:r>
        <w:rPr/>
      </w:r>
    </w:p>
    <w:p>
      <w:pPr>
        <w:pStyle w:val="Normal"/>
        <w:ind w:right="-760" w:hanging="0"/>
        <w:jc w:val="both"/>
        <w:rPr/>
      </w:pPr>
      <w:r>
        <w:rPr/>
        <w:t xml:space="preserve">Με την ολοκλήρωση της διαδικασίας θα συνταχθεί κατάλογος αυτών που πληρούν τις προϋποθέσεις, καθώς και των επιλαχόντων. </w:t>
      </w:r>
    </w:p>
    <w:p>
      <w:pPr>
        <w:pStyle w:val="Normal"/>
        <w:ind w:right="-760" w:hanging="0"/>
        <w:jc w:val="both"/>
        <w:rPr/>
      </w:pPr>
      <w:r>
        <w:rPr/>
      </w:r>
    </w:p>
    <w:p>
      <w:pPr>
        <w:pStyle w:val="Normal"/>
        <w:ind w:right="-760" w:hanging="0"/>
        <w:jc w:val="both"/>
        <w:rPr/>
      </w:pPr>
      <w:r>
        <w:rPr/>
      </w:r>
    </w:p>
    <w:p>
      <w:pPr>
        <w:pStyle w:val="Normal"/>
        <w:ind w:right="-760" w:hanging="0"/>
        <w:jc w:val="both"/>
        <w:rPr>
          <w:b/>
          <w:b/>
          <w:bCs/>
          <w:u w:val="single"/>
        </w:rPr>
      </w:pPr>
      <w:r>
        <w:rPr>
          <w:b/>
          <w:bCs/>
          <w:u w:val="single"/>
        </w:rPr>
        <w:t xml:space="preserve">ΠΡΟΣΟΧΗ: </w:t>
      </w:r>
    </w:p>
    <w:p>
      <w:pPr>
        <w:pStyle w:val="Normal"/>
        <w:ind w:right="-760" w:hanging="0"/>
        <w:jc w:val="both"/>
        <w:rPr/>
      </w:pPr>
      <w:r>
        <w:rPr/>
        <w:t xml:space="preserve">1.  Οι αιτήσεις πρέπει να συνοδεύονται από όλα τα υποχρεωτικά δικαιολογητικά, άλλως δεν θα λαμβάνονται υπόψη. </w:t>
      </w:r>
    </w:p>
    <w:p>
      <w:pPr>
        <w:pStyle w:val="Normal"/>
        <w:ind w:right="-760" w:hanging="0"/>
        <w:jc w:val="both"/>
        <w:rPr/>
      </w:pPr>
      <w:r>
        <w:rPr/>
        <w:t>2. Όλα τα δικαιολογητικά πρέπει να βρίσκονται σε ισχύ κατά το χρόνο υποβολής της υποψηφιότητας. Σε διαφορετική περίπτωση δεν θα λαμβάνονται υπόψη.</w:t>
      </w:r>
    </w:p>
    <w:p>
      <w:pPr>
        <w:pStyle w:val="Normal"/>
        <w:ind w:right="-760" w:hanging="0"/>
        <w:jc w:val="both"/>
        <w:rPr/>
      </w:pPr>
      <w:r>
        <w:rPr/>
        <w:t>3. Έγγραφα που δεν έχουν συνταχθεί στην ελληνική γλώσσα, πρέπει να συνοδεύονται από επικυρωμένη μετάφραση, προκειμένου να ληφθούν υπόψη.</w:t>
      </w:r>
    </w:p>
    <w:p>
      <w:pPr>
        <w:pStyle w:val="Normal"/>
        <w:ind w:right="-760" w:hanging="0"/>
        <w:jc w:val="both"/>
        <w:rPr/>
      </w:pPr>
      <w:r>
        <w:rPr/>
        <w:t>4. Αιτήσεις που θα αποσταλούν εκπρόθεσμα δεν θα ληφθούν υπόψη.</w:t>
      </w:r>
    </w:p>
    <w:p>
      <w:pPr>
        <w:pStyle w:val="Normal"/>
        <w:ind w:right="-760" w:hanging="0"/>
        <w:jc w:val="both"/>
        <w:rPr/>
      </w:pPr>
      <w:r>
        <w:rPr/>
      </w:r>
    </w:p>
    <w:p>
      <w:pPr>
        <w:pStyle w:val="Normal"/>
        <w:ind w:right="-760" w:hanging="0"/>
        <w:jc w:val="both"/>
        <w:rPr/>
      </w:pPr>
      <w:r>
        <w:rPr/>
      </w:r>
    </w:p>
    <w:p>
      <w:pPr>
        <w:pStyle w:val="Normal"/>
        <w:ind w:right="-760" w:hanging="0"/>
        <w:jc w:val="both"/>
        <w:rPr/>
      </w:pPr>
      <w:r>
        <w:rPr/>
        <w:t>Για περισσότερες πληροφορίες σχετικά με την προκήρυξη οι ενδιαφερόμενοι μπορούν να επικοινωνούν στα τηλέφωνα 2313330802 και 2313330804. Τέλος αναφορικά με τους τομείς σπουδών, οι ενδιαφερόμενοι μπορούν να ενημερώνονται από τους εκπαιδευτικούς φορείς χορήγησης των υποτροφιών:</w:t>
      </w:r>
    </w:p>
    <w:p>
      <w:pPr>
        <w:pStyle w:val="Normal"/>
        <w:ind w:right="-760" w:hanging="0"/>
        <w:jc w:val="both"/>
        <w:rPr/>
      </w:pPr>
      <w:r>
        <w:rPr/>
      </w:r>
    </w:p>
    <w:p>
      <w:pPr>
        <w:pStyle w:val="Normal"/>
        <w:numPr>
          <w:ilvl w:val="0"/>
          <w:numId w:val="5"/>
        </w:numPr>
        <w:spacing w:before="0" w:after="200"/>
        <w:contextualSpacing/>
        <w:rPr/>
      </w:pPr>
      <w:r>
        <w:rPr>
          <w:b/>
        </w:rPr>
        <w:t>ΙΕΚ ΑΛΦΑ Αθήνας:</w:t>
      </w:r>
      <w:r>
        <w:rPr/>
        <w:t xml:space="preserve"> Πατησίων 31, 210 5279500</w:t>
      </w:r>
    </w:p>
    <w:p>
      <w:pPr>
        <w:pStyle w:val="Normal"/>
        <w:spacing w:before="0" w:after="200"/>
        <w:ind w:left="360" w:hanging="0"/>
        <w:contextualSpacing/>
        <w:rPr/>
      </w:pPr>
      <w:r>
        <w:rPr/>
      </w:r>
    </w:p>
    <w:p>
      <w:pPr>
        <w:pStyle w:val="Normal"/>
        <w:numPr>
          <w:ilvl w:val="0"/>
          <w:numId w:val="5"/>
        </w:numPr>
        <w:spacing w:before="0" w:after="200"/>
        <w:contextualSpacing/>
        <w:rPr/>
      </w:pPr>
      <w:r>
        <w:rPr>
          <w:b/>
        </w:rPr>
        <w:t>ΙΕΚ ΑΛΦΑ Πειραιά:</w:t>
      </w:r>
      <w:r>
        <w:rPr/>
        <w:t xml:space="preserve"> Φίλωνος 39, 210 41 20313</w:t>
      </w:r>
    </w:p>
    <w:p>
      <w:pPr>
        <w:pStyle w:val="Normal"/>
        <w:spacing w:before="0" w:after="200"/>
        <w:contextualSpacing/>
        <w:rPr/>
      </w:pPr>
      <w:r>
        <w:rPr/>
      </w:r>
    </w:p>
    <w:p>
      <w:pPr>
        <w:pStyle w:val="Normal"/>
        <w:numPr>
          <w:ilvl w:val="0"/>
          <w:numId w:val="5"/>
        </w:numPr>
        <w:spacing w:before="0" w:after="200"/>
        <w:contextualSpacing/>
        <w:rPr/>
      </w:pPr>
      <w:r>
        <w:rPr>
          <w:b/>
        </w:rPr>
        <w:t>ΙΕΚ ΑΛΦΑ Γλυφάδας:</w:t>
      </w:r>
      <w:r>
        <w:rPr/>
        <w:t xml:space="preserve"> Λ. Βουλιαγμένης 57, 210 9640117</w:t>
      </w:r>
    </w:p>
    <w:p>
      <w:pPr>
        <w:pStyle w:val="Normal"/>
        <w:spacing w:before="0" w:after="200"/>
        <w:contextualSpacing/>
        <w:rPr/>
      </w:pPr>
      <w:r>
        <w:rPr/>
      </w:r>
    </w:p>
    <w:p>
      <w:pPr>
        <w:pStyle w:val="Normal"/>
        <w:numPr>
          <w:ilvl w:val="0"/>
          <w:numId w:val="5"/>
        </w:numPr>
        <w:spacing w:before="0" w:after="200"/>
        <w:contextualSpacing/>
        <w:rPr/>
      </w:pPr>
      <w:r>
        <w:rPr>
          <w:b/>
        </w:rPr>
        <w:t>ΙΕΚ ΑΛΦΑ Θεσσαλονίκης:</w:t>
      </w:r>
      <w:r>
        <w:rPr/>
        <w:t xml:space="preserve"> Βαλαωρίτου 9, 2310 552406</w:t>
      </w:r>
    </w:p>
    <w:p>
      <w:pPr>
        <w:pStyle w:val="Normal"/>
        <w:spacing w:before="0" w:after="200"/>
        <w:contextualSpacing/>
        <w:rPr/>
      </w:pPr>
      <w:r>
        <w:rPr/>
      </w:r>
    </w:p>
    <w:p>
      <w:pPr>
        <w:pStyle w:val="Normal"/>
        <w:numPr>
          <w:ilvl w:val="0"/>
          <w:numId w:val="5"/>
        </w:numPr>
        <w:spacing w:before="0" w:after="200"/>
        <w:ind w:left="720" w:right="-696" w:hanging="360"/>
        <w:contextualSpacing/>
        <w:rPr>
          <w:b/>
          <w:b/>
          <w:color w:val="000000"/>
          <w:lang w:val="en-US"/>
        </w:rPr>
      </w:pPr>
      <w:r>
        <w:rPr>
          <w:b/>
          <w:color w:val="000000"/>
          <w:lang w:val="en-US"/>
        </w:rPr>
        <w:t xml:space="preserve">Mediterranean College </w:t>
      </w:r>
      <w:r>
        <w:rPr>
          <w:b/>
          <w:color w:val="000000"/>
        </w:rPr>
        <w:t>Αθήνας</w:t>
      </w:r>
      <w:r>
        <w:rPr>
          <w:b/>
          <w:color w:val="000000"/>
          <w:lang w:val="en-US"/>
        </w:rPr>
        <w:t xml:space="preserve">: </w:t>
      </w:r>
      <w:r>
        <w:rPr>
          <w:color w:val="000000"/>
        </w:rPr>
        <w:t>Πατησίων</w:t>
      </w:r>
      <w:r>
        <w:rPr>
          <w:color w:val="000000"/>
          <w:lang w:val="en-US"/>
        </w:rPr>
        <w:t xml:space="preserve"> 107 &amp; </w:t>
      </w:r>
      <w:r>
        <w:rPr>
          <w:color w:val="000000"/>
        </w:rPr>
        <w:t>Πελλήνης</w:t>
      </w:r>
      <w:r>
        <w:rPr>
          <w:color w:val="000000"/>
          <w:lang w:val="en-US"/>
        </w:rPr>
        <w:t xml:space="preserve"> 8, 210 8899600</w:t>
      </w:r>
    </w:p>
    <w:p>
      <w:pPr>
        <w:pStyle w:val="Normal"/>
        <w:spacing w:before="0" w:after="200"/>
        <w:ind w:right="-696" w:hanging="0"/>
        <w:contextualSpacing/>
        <w:rPr>
          <w:b/>
          <w:b/>
          <w:color w:val="000000"/>
          <w:lang w:val="en-US"/>
        </w:rPr>
      </w:pPr>
      <w:r>
        <w:rPr>
          <w:b/>
          <w:color w:val="000000"/>
          <w:lang w:val="en-US"/>
        </w:rPr>
      </w:r>
    </w:p>
    <w:p>
      <w:pPr>
        <w:pStyle w:val="Normal"/>
        <w:numPr>
          <w:ilvl w:val="0"/>
          <w:numId w:val="5"/>
        </w:numPr>
        <w:spacing w:before="0" w:after="200"/>
        <w:contextualSpacing/>
        <w:rPr>
          <w:color w:val="000000"/>
          <w:lang w:val="en-US"/>
        </w:rPr>
      </w:pPr>
      <w:r>
        <w:rPr>
          <w:b/>
          <w:color w:val="000000"/>
          <w:lang w:val="en-US"/>
        </w:rPr>
        <w:t xml:space="preserve">Mediterranean College </w:t>
      </w:r>
      <w:r>
        <w:rPr>
          <w:b/>
          <w:color w:val="000000"/>
        </w:rPr>
        <w:t xml:space="preserve">Θεσσαλονίκης: </w:t>
      </w:r>
      <w:r>
        <w:rPr>
          <w:color w:val="000000"/>
        </w:rPr>
        <w:t>Εγνατία 2-4, 2310 547708</w:t>
      </w:r>
    </w:p>
    <w:p>
      <w:pPr>
        <w:pStyle w:val="Normal"/>
        <w:spacing w:before="0" w:after="200"/>
        <w:ind w:left="360" w:hanging="0"/>
        <w:contextualSpacing/>
        <w:rPr>
          <w:color w:val="000000"/>
          <w:lang w:val="en-US"/>
        </w:rPr>
      </w:pPr>
      <w:r>
        <w:rPr>
          <w:color w:val="000000"/>
          <w:lang w:val="en-US"/>
        </w:rPr>
      </w:r>
    </w:p>
    <w:p>
      <w:pPr>
        <w:pStyle w:val="Normal"/>
        <w:spacing w:before="0" w:after="200"/>
        <w:ind w:left="360" w:hanging="0"/>
        <w:contextualSpacing/>
        <w:rPr>
          <w:color w:val="000000"/>
          <w:u w:val="single"/>
        </w:rPr>
      </w:pPr>
      <w:r>
        <w:rPr>
          <w:color w:val="000000"/>
          <w:u w:val="single"/>
        </w:rPr>
        <w:t>Ηλεκτρονικές διευθύνσεις φορέων</w:t>
      </w:r>
    </w:p>
    <w:p>
      <w:pPr>
        <w:pStyle w:val="Normal"/>
        <w:spacing w:before="0" w:after="200"/>
        <w:ind w:left="360" w:hanging="0"/>
        <w:contextualSpacing/>
        <w:jc w:val="both"/>
        <w:rPr/>
      </w:pPr>
      <w:hyperlink r:id="rId9">
        <w:r>
          <w:rPr>
            <w:rStyle w:val="ListLabel86"/>
            <w:lang w:val="en-US"/>
          </w:rPr>
          <w:t>http</w:t>
        </w:r>
        <w:r>
          <w:rPr>
            <w:rStyle w:val="ListLabel86"/>
          </w:rPr>
          <w:t>://</w:t>
        </w:r>
        <w:r>
          <w:rPr>
            <w:rStyle w:val="ListLabel86"/>
            <w:lang w:val="en-US"/>
          </w:rPr>
          <w:t>www</w:t>
        </w:r>
        <w:r>
          <w:rPr>
            <w:rStyle w:val="ListLabel86"/>
          </w:rPr>
          <w:t>.</w:t>
        </w:r>
        <w:r>
          <w:rPr>
            <w:rStyle w:val="ListLabel86"/>
            <w:lang w:val="en-US"/>
          </w:rPr>
          <w:t>iekalfa</w:t>
        </w:r>
        <w:r>
          <w:rPr>
            <w:rStyle w:val="ListLabel86"/>
          </w:rPr>
          <w:t>.</w:t>
        </w:r>
        <w:r>
          <w:rPr>
            <w:rStyle w:val="ListLabel86"/>
            <w:lang w:val="en-US"/>
          </w:rPr>
          <w:t>gr</w:t>
        </w:r>
        <w:r>
          <w:rPr>
            <w:rStyle w:val="ListLabel86"/>
          </w:rPr>
          <w:t>/</w:t>
        </w:r>
      </w:hyperlink>
      <w:r>
        <w:rPr>
          <w:color w:val="000000"/>
        </w:rPr>
        <w:t>,</w:t>
      </w:r>
      <w:hyperlink r:id="rId10">
        <w:r>
          <w:rPr>
            <w:rStyle w:val="Style13"/>
            <w:lang w:val="en-US"/>
          </w:rPr>
          <w:t>http</w:t>
        </w:r>
        <w:r>
          <w:rPr>
            <w:rStyle w:val="Style13"/>
          </w:rPr>
          <w:t>://</w:t>
        </w:r>
        <w:r>
          <w:rPr>
            <w:rStyle w:val="Style13"/>
            <w:lang w:val="en-US"/>
          </w:rPr>
          <w:t>www</w:t>
        </w:r>
        <w:r>
          <w:rPr>
            <w:rStyle w:val="Style13"/>
          </w:rPr>
          <w:t>.</w:t>
        </w:r>
        <w:r>
          <w:rPr>
            <w:rStyle w:val="Style13"/>
            <w:lang w:val="en-US"/>
          </w:rPr>
          <w:t>medcollege</w:t>
        </w:r>
        <w:r>
          <w:rPr>
            <w:rStyle w:val="Style13"/>
          </w:rPr>
          <w:t>.</w:t>
        </w:r>
        <w:r>
          <w:rPr>
            <w:rStyle w:val="Style13"/>
            <w:lang w:val="en-US"/>
          </w:rPr>
          <w:t>edu</w:t>
        </w:r>
        <w:r>
          <w:rPr>
            <w:rStyle w:val="Style13"/>
          </w:rPr>
          <w:t>.</w:t>
        </w:r>
        <w:r>
          <w:rPr>
            <w:rStyle w:val="Style13"/>
            <w:lang w:val="en-US"/>
          </w:rPr>
          <w:t>gr</w:t>
        </w:r>
        <w:r>
          <w:rPr>
            <w:rStyle w:val="Style13"/>
          </w:rPr>
          <w:t>/</w:t>
        </w:r>
      </w:hyperlink>
      <w:r>
        <w:rPr>
          <w:color w:val="000000"/>
        </w:rPr>
        <w:t xml:space="preserve">, </w:t>
      </w:r>
      <w:hyperlink r:id="rId11">
        <w:r>
          <w:rPr>
            <w:rStyle w:val="ListLabel86"/>
            <w:lang w:val="en-US"/>
          </w:rPr>
          <w:t>http</w:t>
        </w:r>
        <w:r>
          <w:rPr>
            <w:rStyle w:val="ListLabel86"/>
          </w:rPr>
          <w:t>://</w:t>
        </w:r>
        <w:r>
          <w:rPr>
            <w:rStyle w:val="ListLabel86"/>
            <w:lang w:val="en-US"/>
          </w:rPr>
          <w:t>medcollege</w:t>
        </w:r>
        <w:r>
          <w:rPr>
            <w:rStyle w:val="ListLabel86"/>
          </w:rPr>
          <w:t>.</w:t>
        </w:r>
        <w:r>
          <w:rPr>
            <w:rStyle w:val="ListLabel86"/>
            <w:lang w:val="en-US"/>
          </w:rPr>
          <w:t>edu</w:t>
        </w:r>
        <w:r>
          <w:rPr>
            <w:rStyle w:val="ListLabel86"/>
          </w:rPr>
          <w:t>.</w:t>
        </w:r>
        <w:r>
          <w:rPr>
            <w:rStyle w:val="ListLabel86"/>
            <w:lang w:val="en-US"/>
          </w:rPr>
          <w:t>gr</w:t>
        </w:r>
        <w:r>
          <w:rPr>
            <w:rStyle w:val="ListLabel86"/>
          </w:rPr>
          <w:t>/</w:t>
        </w:r>
        <w:r>
          <w:rPr>
            <w:rStyle w:val="ListLabel86"/>
            <w:lang w:val="en-US"/>
          </w:rPr>
          <w:t>ypopshfioi</w:t>
        </w:r>
        <w:r>
          <w:rPr>
            <w:rStyle w:val="ListLabel86"/>
          </w:rPr>
          <w:t>-</w:t>
        </w:r>
        <w:r>
          <w:rPr>
            <w:rStyle w:val="ListLabel86"/>
            <w:lang w:val="en-US"/>
          </w:rPr>
          <w:t>foithtes</w:t>
        </w:r>
        <w:r>
          <w:rPr>
            <w:rStyle w:val="ListLabel86"/>
          </w:rPr>
          <w:t>/</w:t>
        </w:r>
        <w:r>
          <w:rPr>
            <w:rStyle w:val="ListLabel86"/>
            <w:lang w:val="en-US"/>
          </w:rPr>
          <w:t>mps</w:t>
        </w:r>
        <w:r>
          <w:rPr>
            <w:rStyle w:val="ListLabel86"/>
          </w:rPr>
          <w:t>/</w:t>
        </w:r>
      </w:hyperlink>
      <w:r>
        <w:rPr>
          <w:color w:val="000000"/>
        </w:rPr>
        <w:t xml:space="preserve"> </w:t>
      </w:r>
    </w:p>
    <w:p>
      <w:pPr>
        <w:pStyle w:val="ListParagraph"/>
        <w:spacing w:before="0" w:after="200"/>
        <w:ind w:left="0" w:right="-760" w:hanging="0"/>
        <w:rPr/>
      </w:pPr>
      <w:r>
        <w:rPr/>
      </w:r>
    </w:p>
    <w:sectPr>
      <w:footerReference w:type="default" r:id="rId12"/>
      <w:type w:val="nextPage"/>
      <w:pgSz w:w="11906" w:h="16838"/>
      <w:pgMar w:left="1985" w:right="1797" w:header="0" w:top="1077" w:footer="709" w:bottom="10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Arial">
    <w:charset w:val="a1"/>
    <w:family w:val="roman"/>
    <w:pitch w:val="variable"/>
  </w:font>
  <w:font w:name="Cambria">
    <w:charset w:val="a1"/>
    <w:family w:val="roman"/>
    <w:pitch w:val="variable"/>
  </w:font>
  <w:font w:name="Liberation Sans">
    <w:altName w:val="Arial"/>
    <w:charset w:val="a1"/>
    <w:family w:val="roman"/>
    <w:pitch w:val="variable"/>
  </w:font>
  <w:font w:name="Tahoma">
    <w:charset w:val="a1"/>
    <w:family w:val="roman"/>
    <w:pitch w:val="variable"/>
  </w:font>
  <w:font w:name="Calibri">
    <w:charset w:val="a1"/>
    <w:family w:val="roman"/>
    <w:pitch w:val="variable"/>
  </w:font>
  <w:font w:name="OpenSymbol">
    <w:altName w:val="Arial Unicode MS"/>
    <w:charset w:val="01"/>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ind w:right="360" w:hanging="0"/>
      <w:rPr/>
    </w:pPr>
    <w:r>
      <w:rPr/>
      <mc:AlternateContent>
        <mc:Choice Requires="wps">
          <w:drawing>
            <wp:anchor behindDoc="1" distT="0" distB="0" distL="0" distR="0" simplePos="0" locked="0" layoutInCell="1" allowOverlap="1" relativeHeight="6" wp14:anchorId="113D3793">
              <wp:simplePos x="0" y="0"/>
              <wp:positionH relativeFrom="margin">
                <wp:align>right</wp:align>
              </wp:positionH>
              <wp:positionV relativeFrom="paragraph">
                <wp:posOffset>635</wp:posOffset>
              </wp:positionV>
              <wp:extent cx="81280" cy="174625"/>
              <wp:effectExtent l="0" t="0" r="0" b="0"/>
              <wp:wrapSquare wrapText="largest"/>
              <wp:docPr id="5" name="Πλαίσιο1"/>
              <a:graphic xmlns:a="http://schemas.openxmlformats.org/drawingml/2006/main">
                <a:graphicData uri="http://schemas.microsoft.com/office/word/2010/wordprocessingShape">
                  <wps:wsp>
                    <wps:cNvSpPr/>
                    <wps:spPr>
                      <a:xfrm>
                        <a:off x="0" y="0"/>
                        <a:ext cx="80640" cy="173880"/>
                      </a:xfrm>
                      <a:prstGeom prst="rect">
                        <a:avLst/>
                      </a:prstGeom>
                      <a:noFill/>
                      <a:ln>
                        <a:noFill/>
                      </a:ln>
                    </wps:spPr>
                    <wps:style>
                      <a:lnRef idx="0"/>
                      <a:fillRef idx="0"/>
                      <a:effectRef idx="0"/>
                      <a:fontRef idx="minor"/>
                    </wps:style>
                    <wps:txbx>
                      <w:txbxContent>
                        <w:p>
                          <w:pPr>
                            <w:pStyle w:val="Style20"/>
                            <w:rPr/>
                          </w:pPr>
                          <w:r>
                            <w:rPr>
                              <w:rStyle w:val="Pagenumber"/>
                              <w:color w:val="000000"/>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lIns="0" rIns="0" tIns="0" bIns="0">
                      <a:spAutoFit/>
                    </wps:bodyPr>
                  </wps:wsp>
                </a:graphicData>
              </a:graphic>
            </wp:anchor>
          </w:drawing>
        </mc:Choice>
        <mc:Fallback>
          <w:pict>
            <v:rect id="shape_0" ID="Πλαίσιο1" stroked="f" style="position:absolute;margin-left:399.8pt;margin-top:0.05pt;width:6.3pt;height:13.65pt;mso-position-horizontal:right;mso-position-horizontal-relative:margin" wp14:anchorId="113D3793">
              <w10:wrap type="square"/>
              <v:fill o:detectmouseclick="t" on="false"/>
              <v:stroke color="#3465a4" joinstyle="round" endcap="flat"/>
              <v:textbox>
                <w:txbxContent>
                  <w:p>
                    <w:pPr>
                      <w:pStyle w:val="Style20"/>
                      <w:rPr/>
                    </w:pPr>
                    <w:r>
                      <w:rPr>
                        <w:rStyle w:val="Pagenumber"/>
                        <w:color w:val="000000"/>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2"/>
      <w:numFmt w:val="bullet"/>
      <w:lvlText w:val="◦"/>
      <w:lvlJc w:val="left"/>
      <w:pPr>
        <w:tabs>
          <w:tab w:val="num" w:pos="720"/>
        </w:tabs>
        <w:ind w:left="720" w:hanging="360"/>
      </w:pPr>
      <w:rPr>
        <w:rFonts w:ascii="OpenSymbol" w:hAnsi="OpenSymbol" w:cs="OpenSymbol" w:hint="default"/>
        <w:rFonts w:cs="OpenSymbol"/>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sz w:val="24"/>
        <w:b/>
        <w:szCs w:val="28"/>
        <w:bCs w:val="false"/>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bullet"/>
      <w:lvlText w:val=""/>
      <w:lvlJc w:val="left"/>
      <w:pPr>
        <w:tabs>
          <w:tab w:val="num" w:pos="720"/>
        </w:tabs>
        <w:ind w:left="720" w:hanging="360"/>
      </w:pPr>
      <w:rPr>
        <w:rFonts w:ascii="Symbol" w:hAnsi="Symbol" w:cs="Symbol" w:hint="default"/>
        <w:b/>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decimal"/>
      <w:lvlText w:val="%1."/>
      <w:lvlJc w:val="left"/>
      <w:pPr>
        <w:ind w:left="720" w:hanging="360"/>
      </w:pPr>
      <w:rPr>
        <w:sz w:val="24"/>
        <w:i w:val="false"/>
        <w:b/>
        <w:szCs w:val="24"/>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embedSystemFont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l-GR" w:eastAsia="el-GR" w:bidi="ar-SA"/>
      </w:rPr>
    </w:rPrDefault>
    <w:pPrDefault>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e16ca"/>
    <w:pPr>
      <w:widowControl/>
      <w:suppressAutoHyphens w:val="true"/>
      <w:bidi w:val="0"/>
      <w:jc w:val="left"/>
    </w:pPr>
    <w:rPr>
      <w:rFonts w:ascii="Times New Roman" w:hAnsi="Times New Roman" w:eastAsia="Times New Roman" w:cs="Times New Roman"/>
      <w:color w:val="auto"/>
      <w:kern w:val="0"/>
      <w:sz w:val="24"/>
      <w:szCs w:val="24"/>
      <w:lang w:val="el-GR" w:eastAsia="el-GR" w:bidi="ar-SA"/>
    </w:rPr>
  </w:style>
  <w:style w:type="paragraph" w:styleId="2">
    <w:name w:val="Heading 2"/>
    <w:basedOn w:val="Normal"/>
    <w:next w:val="Normal"/>
    <w:link w:val="2Char"/>
    <w:uiPriority w:val="99"/>
    <w:qFormat/>
    <w:rsid w:val="00073fa5"/>
    <w:pPr>
      <w:keepNext w:val="true"/>
      <w:numPr>
        <w:ilvl w:val="1"/>
        <w:numId w:val="1"/>
      </w:numPr>
      <w:outlineLvl w:val="1"/>
    </w:pPr>
    <w:rPr>
      <w:rFonts w:ascii="Arial" w:hAnsi="Arial" w:eastAsia="Arial Unicode MS" w:cs="Arial"/>
      <w:b/>
      <w:bCs/>
      <w:lang w:eastAsia="ar-SA"/>
    </w:rPr>
  </w:style>
  <w:style w:type="character" w:styleId="DefaultParagraphFont" w:default="1">
    <w:name w:val="Default Paragraph Font"/>
    <w:uiPriority w:val="1"/>
    <w:semiHidden/>
    <w:unhideWhenUsed/>
    <w:qFormat/>
    <w:rPr/>
  </w:style>
  <w:style w:type="character" w:styleId="2Char" w:customStyle="1">
    <w:name w:val="Επικεφαλίδα 2 Char"/>
    <w:basedOn w:val="DefaultParagraphFont"/>
    <w:link w:val="2"/>
    <w:uiPriority w:val="99"/>
    <w:semiHidden/>
    <w:qFormat/>
    <w:locked/>
    <w:rsid w:val="00660ce2"/>
    <w:rPr>
      <w:rFonts w:ascii="Cambria" w:hAnsi="Cambria" w:cs="Times New Roman"/>
      <w:b/>
      <w:bCs/>
      <w:i/>
      <w:iCs/>
      <w:sz w:val="28"/>
      <w:szCs w:val="28"/>
    </w:rPr>
  </w:style>
  <w:style w:type="character" w:styleId="Char" w:customStyle="1">
    <w:name w:val="Κείμενο πλαισίου Char"/>
    <w:basedOn w:val="DefaultParagraphFont"/>
    <w:link w:val="a3"/>
    <w:uiPriority w:val="99"/>
    <w:semiHidden/>
    <w:qFormat/>
    <w:locked/>
    <w:rsid w:val="00660ce2"/>
    <w:rPr>
      <w:rFonts w:cs="Times New Roman"/>
      <w:sz w:val="2"/>
    </w:rPr>
  </w:style>
  <w:style w:type="character" w:styleId="Style13">
    <w:name w:val="Σύνδεσμος διαδικτύου"/>
    <w:basedOn w:val="DefaultParagraphFont"/>
    <w:uiPriority w:val="99"/>
    <w:unhideWhenUsed/>
    <w:rsid w:val="0068559b"/>
    <w:rPr>
      <w:color w:val="0000FF" w:themeColor="hyperlink"/>
      <w:u w:val="single"/>
    </w:rPr>
  </w:style>
  <w:style w:type="character" w:styleId="Char1" w:customStyle="1">
    <w:name w:val="Υποσέλιδο Char"/>
    <w:basedOn w:val="DefaultParagraphFont"/>
    <w:link w:val="a5"/>
    <w:uiPriority w:val="99"/>
    <w:semiHidden/>
    <w:qFormat/>
    <w:locked/>
    <w:rsid w:val="00660ce2"/>
    <w:rPr>
      <w:rFonts w:cs="Times New Roman"/>
      <w:sz w:val="24"/>
      <w:szCs w:val="24"/>
    </w:rPr>
  </w:style>
  <w:style w:type="character" w:styleId="Pagenumber">
    <w:name w:val="page number"/>
    <w:basedOn w:val="DefaultParagraphFont"/>
    <w:uiPriority w:val="99"/>
    <w:qFormat/>
    <w:rsid w:val="0056686f"/>
    <w:rPr>
      <w:rFonts w:cs="Times New Roman"/>
    </w:rPr>
  </w:style>
  <w:style w:type="character" w:styleId="Char2" w:customStyle="1">
    <w:name w:val="Κεφαλίδα Char"/>
    <w:basedOn w:val="DefaultParagraphFont"/>
    <w:link w:val="a7"/>
    <w:uiPriority w:val="99"/>
    <w:semiHidden/>
    <w:qFormat/>
    <w:locked/>
    <w:rsid w:val="00660ce2"/>
    <w:rPr>
      <w:rFonts w:cs="Times New Roman"/>
      <w:sz w:val="24"/>
      <w:szCs w:val="24"/>
    </w:rPr>
  </w:style>
  <w:style w:type="character" w:styleId="UnresolvedMention">
    <w:name w:val="Unresolved Mention"/>
    <w:basedOn w:val="DefaultParagraphFont"/>
    <w:uiPriority w:val="99"/>
    <w:semiHidden/>
    <w:unhideWhenUsed/>
    <w:qFormat/>
    <w:rsid w:val="0068559b"/>
    <w:rPr>
      <w:color w:val="605E5C"/>
      <w:shd w:fill="E1DFDD" w:val="clear"/>
    </w:rPr>
  </w:style>
  <w:style w:type="paragraph" w:styleId="Style14" w:customStyle="1">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customStyle="1">
    <w:name w:val="Ευρετήριο"/>
    <w:basedOn w:val="Normal"/>
    <w:qFormat/>
    <w:pPr>
      <w:suppressLineNumbers/>
    </w:pPr>
    <w:rPr>
      <w:rFonts w:cs="Arial"/>
    </w:rPr>
  </w:style>
  <w:style w:type="paragraph" w:styleId="Caption">
    <w:name w:val="caption"/>
    <w:basedOn w:val="Normal"/>
    <w:qFormat/>
    <w:pPr>
      <w:suppressLineNumbers/>
      <w:spacing w:before="120" w:after="120"/>
    </w:pPr>
    <w:rPr>
      <w:rFonts w:cs="Arial"/>
      <w:i/>
      <w:iCs/>
    </w:rPr>
  </w:style>
  <w:style w:type="paragraph" w:styleId="BalloonText">
    <w:name w:val="Balloon Text"/>
    <w:basedOn w:val="Normal"/>
    <w:link w:val="Char"/>
    <w:uiPriority w:val="99"/>
    <w:semiHidden/>
    <w:qFormat/>
    <w:rsid w:val="000024e5"/>
    <w:pPr/>
    <w:rPr>
      <w:rFonts w:ascii="Tahoma" w:hAnsi="Tahoma" w:cs="Tahoma"/>
      <w:sz w:val="16"/>
      <w:szCs w:val="16"/>
    </w:rPr>
  </w:style>
  <w:style w:type="paragraph" w:styleId="NormalWeb">
    <w:name w:val="Normal (Web)"/>
    <w:basedOn w:val="Normal"/>
    <w:uiPriority w:val="99"/>
    <w:qFormat/>
    <w:rsid w:val="00b729b0"/>
    <w:pPr>
      <w:spacing w:beforeAutospacing="1" w:after="119"/>
    </w:pPr>
    <w:rPr/>
  </w:style>
  <w:style w:type="paragraph" w:styleId="1" w:customStyle="1">
    <w:name w:val="Παράγραφος λίστας1"/>
    <w:basedOn w:val="Normal"/>
    <w:uiPriority w:val="99"/>
    <w:qFormat/>
    <w:rsid w:val="00602fa9"/>
    <w:pPr>
      <w:spacing w:lineRule="auto" w:line="276" w:before="0" w:after="200"/>
      <w:ind w:left="720" w:hanging="0"/>
    </w:pPr>
    <w:rPr>
      <w:rFonts w:ascii="Calibri" w:hAnsi="Calibri" w:cs="Calibri"/>
      <w:sz w:val="22"/>
      <w:szCs w:val="22"/>
      <w:lang w:eastAsia="ar-SA"/>
    </w:rPr>
  </w:style>
  <w:style w:type="paragraph" w:styleId="Style19" w:customStyle="1">
    <w:name w:val="Κεφαλίδα και υποσέλιδο"/>
    <w:basedOn w:val="Normal"/>
    <w:qFormat/>
    <w:pPr/>
    <w:rPr/>
  </w:style>
  <w:style w:type="paragraph" w:styleId="Style20">
    <w:name w:val="Footer"/>
    <w:basedOn w:val="Normal"/>
    <w:link w:val="Char0"/>
    <w:uiPriority w:val="99"/>
    <w:rsid w:val="0056686f"/>
    <w:pPr>
      <w:tabs>
        <w:tab w:val="clear" w:pos="720"/>
        <w:tab w:val="center" w:pos="4153" w:leader="none"/>
        <w:tab w:val="right" w:pos="8306" w:leader="none"/>
      </w:tabs>
    </w:pPr>
    <w:rPr/>
  </w:style>
  <w:style w:type="paragraph" w:styleId="Style21">
    <w:name w:val="Header"/>
    <w:basedOn w:val="Normal"/>
    <w:link w:val="Char1"/>
    <w:uiPriority w:val="99"/>
    <w:rsid w:val="00d94798"/>
    <w:pPr>
      <w:tabs>
        <w:tab w:val="clear" w:pos="720"/>
        <w:tab w:val="center" w:pos="4153" w:leader="none"/>
        <w:tab w:val="right" w:pos="8306" w:leader="none"/>
      </w:tabs>
    </w:pPr>
    <w:rPr/>
  </w:style>
  <w:style w:type="paragraph" w:styleId="ListParagraph">
    <w:name w:val="List Paragraph"/>
    <w:basedOn w:val="Normal"/>
    <w:uiPriority w:val="34"/>
    <w:qFormat/>
    <w:rsid w:val="00ea3d59"/>
    <w:pPr>
      <w:spacing w:lineRule="auto" w:line="276" w:before="0" w:after="200"/>
      <w:ind w:left="720" w:hanging="0"/>
    </w:pPr>
    <w:rPr>
      <w:rFonts w:ascii="Calibri" w:hAnsi="Calibri" w:cs="Calibri"/>
      <w:sz w:val="22"/>
      <w:szCs w:val="22"/>
      <w:lang w:eastAsia="en-US"/>
    </w:rPr>
  </w:style>
  <w:style w:type="paragraph" w:styleId="Style22" w:customStyle="1">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0">
    <w:name w:val="Table Grid"/>
    <w:basedOn w:val="a1"/>
    <w:uiPriority w:val="99"/>
    <w:rsid w:val="00284b57"/>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ygeias@imathia.pkm.gov.gr" TargetMode="External"/><Relationship Id="rId4" Type="http://schemas.openxmlformats.org/officeDocument/2006/relationships/hyperlink" Target="mailto:dykm@pkm.gov.gr" TargetMode="External"/><Relationship Id="rId5" Type="http://schemas.openxmlformats.org/officeDocument/2006/relationships/hyperlink" Target="mailto:ygeias_pronoias@kilkis.pkm.gov.gr" TargetMode="External"/><Relationship Id="rId6" Type="http://schemas.openxmlformats.org/officeDocument/2006/relationships/hyperlink" Target="mailto:ddygeiaspellas@pella.gr" TargetMode="External"/><Relationship Id="rId7" Type="http://schemas.openxmlformats.org/officeDocument/2006/relationships/hyperlink" Target="mailto:ygeias@pieria.pkm.gov.gr" TargetMode="External"/><Relationship Id="rId8" Type="http://schemas.openxmlformats.org/officeDocument/2006/relationships/hyperlink" Target="mailto:dygeias@serres.pkm.gov.gr" TargetMode="External"/><Relationship Id="rId9" Type="http://schemas.openxmlformats.org/officeDocument/2006/relationships/hyperlink" Target="http://www.iekalfa.gr/" TargetMode="External"/><Relationship Id="rId10" Type="http://schemas.openxmlformats.org/officeDocument/2006/relationships/hyperlink" Target="http://www.medcollege.edu.gr/" TargetMode="External"/><Relationship Id="rId11" Type="http://schemas.openxmlformats.org/officeDocument/2006/relationships/hyperlink" Target="http://medcollege.edu.gr/ypopshfioi-foithtes/mps/" TargetMode="Externa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LibreOffice/6.3.3.1$Windows_X86_64 LibreOffice_project/f41f4c7f9507aeca13cb9df51f34d80e8ba30a99</Application>
  <Pages>5</Pages>
  <Words>1036</Words>
  <Characters>6848</Characters>
  <CharactersWithSpaces>7811</CharactersWithSpaces>
  <Paragraphs>88</Paragraphs>
  <Company>Κ.τ.Π.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2023-07-07T10:02:00Z</dcterms:created>
  <dc:creator>mantzad</dc:creator>
  <dc:description/>
  <dc:language>el-GR</dc:language>
  <cp:lastModifiedBy/>
  <cp:lastPrinted>2019-10-02T11:48:00Z</cp:lastPrinted>
  <dcterms:modified xsi:type="dcterms:W3CDTF">2023-07-10T07:06:54Z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Κ.τ.Π.</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